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500DB5C1" w:rsidR="00AD4C46" w:rsidRPr="000478F6" w:rsidRDefault="00921DBE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 11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500DB5C1" w:rsidR="00AD4C46" w:rsidRPr="000478F6" w:rsidRDefault="00921DBE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 11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77154C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77154C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11C88DE8" w:rsidR="00775F51" w:rsidRDefault="00775F51" w:rsidP="00AD4C46">
      <w:pPr>
        <w:pStyle w:val="Heading1"/>
      </w:pPr>
      <w:r>
        <w:t xml:space="preserve">Home Sales </w:t>
      </w:r>
      <w:r w:rsidR="00430E07">
        <w:t xml:space="preserve">Through </w:t>
      </w:r>
      <w:r w:rsidR="00254EA2">
        <w:t>1</w:t>
      </w:r>
      <w:r w:rsidR="00254EA2" w:rsidRPr="00254EA2">
        <w:rPr>
          <w:vertAlign w:val="superscript"/>
        </w:rPr>
        <w:t>st</w:t>
      </w:r>
      <w:r w:rsidR="00254EA2">
        <w:t xml:space="preserve"> </w:t>
      </w:r>
      <w:r w:rsidR="00430E07">
        <w:t xml:space="preserve">Qtr </w:t>
      </w:r>
      <w:r w:rsidR="00254EA2">
        <w:t>Up 6.2</w:t>
      </w:r>
      <w:r>
        <w:t>%</w:t>
      </w:r>
    </w:p>
    <w:p w14:paraId="4EFD022F" w14:textId="08384813" w:rsidR="00127EF0" w:rsidRPr="00AD4C46" w:rsidRDefault="00254EA2" w:rsidP="00AD4C46">
      <w:pPr>
        <w:pStyle w:val="Heading1"/>
      </w:pPr>
      <w:r>
        <w:t>March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>
        <w:t>Up</w:t>
      </w:r>
      <w:r w:rsidR="00681DC8" w:rsidRPr="00AD4C46">
        <w:t xml:space="preserve"> </w:t>
      </w:r>
      <w:r>
        <w:t>5</w:t>
      </w:r>
      <w:r w:rsidR="00C24714">
        <w:t>.</w:t>
      </w:r>
      <w:r>
        <w:t>2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41710C6C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254EA2">
              <w:rPr>
                <w:sz w:val="24"/>
                <w:szCs w:val="24"/>
              </w:rPr>
              <w:t>Up for 3</w:t>
            </w:r>
            <w:r w:rsidR="00254EA2" w:rsidRPr="00254EA2">
              <w:rPr>
                <w:sz w:val="24"/>
                <w:szCs w:val="24"/>
                <w:vertAlign w:val="superscript"/>
              </w:rPr>
              <w:t>rd</w:t>
            </w:r>
            <w:r w:rsidR="00254EA2">
              <w:rPr>
                <w:sz w:val="24"/>
                <w:szCs w:val="24"/>
              </w:rPr>
              <w:t xml:space="preserve"> Straight Month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6D136985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254EA2">
              <w:rPr>
                <w:sz w:val="24"/>
                <w:szCs w:val="24"/>
              </w:rPr>
              <w:t>Up for 8</w:t>
            </w:r>
            <w:r w:rsidR="00254EA2" w:rsidRPr="00254EA2">
              <w:rPr>
                <w:sz w:val="24"/>
                <w:szCs w:val="24"/>
                <w:vertAlign w:val="superscript"/>
              </w:rPr>
              <w:t>th</w:t>
            </w:r>
            <w:r w:rsidR="00254EA2">
              <w:rPr>
                <w:sz w:val="24"/>
                <w:szCs w:val="24"/>
              </w:rPr>
              <w:t xml:space="preserve"> </w:t>
            </w:r>
            <w:r w:rsidR="00254EA2">
              <w:rPr>
                <w:sz w:val="24"/>
                <w:szCs w:val="24"/>
              </w:rPr>
              <w:t>Straight Month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35025320" w:rsidR="00E302C4" w:rsidRPr="002F2B80" w:rsidRDefault="00254EA2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Up 8.9%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05E516DE" w:rsidR="00B170CC" w:rsidRPr="00627017" w:rsidRDefault="00254EA2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254EA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3404B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171AE7DE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1,730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2A91EE05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1,885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2A7626FD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>9.0%</w:t>
            </w:r>
          </w:p>
        </w:tc>
      </w:tr>
      <w:tr w:rsidR="0063404B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6C08B657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728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59072628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734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461B6BC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>0.8%</w:t>
            </w:r>
          </w:p>
        </w:tc>
      </w:tr>
      <w:tr w:rsidR="0063404B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52DE9436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217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C04EC81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262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34F933B7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>20.7%</w:t>
            </w:r>
          </w:p>
        </w:tc>
      </w:tr>
      <w:tr w:rsidR="0063404B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120CD8DC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204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1551A750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176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3A365F1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>-13.7%</w:t>
            </w:r>
          </w:p>
        </w:tc>
      </w:tr>
      <w:tr w:rsidR="0063404B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239D5BC0" w:rsidR="0063404B" w:rsidRPr="00627017" w:rsidRDefault="0063404B" w:rsidP="0063404B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2,879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29FD1D8D" w:rsidR="0063404B" w:rsidRPr="00627017" w:rsidRDefault="0063404B" w:rsidP="0063404B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A813A5">
              <w:t xml:space="preserve"> 3,057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7AFC2969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13A5">
              <w:t>6.2%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3404B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33E4DE28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442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124BDA56" w:rsidR="0063404B" w:rsidRPr="00627017" w:rsidRDefault="0063404B" w:rsidP="0063404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451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47205F83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>2.0%</w:t>
            </w:r>
          </w:p>
        </w:tc>
      </w:tr>
      <w:tr w:rsidR="0063404B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657504C2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319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3DC7D739" w:rsidR="0063404B" w:rsidRPr="00627017" w:rsidRDefault="0063404B" w:rsidP="0063404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322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1461C406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>0.9%</w:t>
            </w:r>
          </w:p>
        </w:tc>
      </w:tr>
      <w:tr w:rsidR="0063404B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60B8FB61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242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4EEA1C49" w:rsidR="0063404B" w:rsidRPr="00627017" w:rsidRDefault="0063404B" w:rsidP="0063404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244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2E41F60C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>0.8%</w:t>
            </w:r>
          </w:p>
        </w:tc>
      </w:tr>
      <w:tr w:rsidR="0063404B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29BDD259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3,882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6D636BD2" w:rsidR="0063404B" w:rsidRPr="00627017" w:rsidRDefault="0063404B" w:rsidP="0063404B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 xml:space="preserve"> 4,074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2ECCB510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334A">
              <w:t>4.9%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7AEE111D" w:rsidR="00F264CF" w:rsidRPr="00627017" w:rsidRDefault="00254EA2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3404B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5A119E93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677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3FA5C711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716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0E313FE3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5.8%</w:t>
            </w:r>
          </w:p>
        </w:tc>
      </w:tr>
      <w:tr w:rsidR="0063404B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6DFF0483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299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68291765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306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575B11B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2.3%</w:t>
            </w:r>
          </w:p>
        </w:tc>
      </w:tr>
      <w:tr w:rsidR="0063404B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13AE5EAE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0B5668F5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78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1C20A257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-8.2%</w:t>
            </w:r>
          </w:p>
        </w:tc>
      </w:tr>
      <w:tr w:rsidR="0063404B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5293BC93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4F9C3913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112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243D27BB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23.1%</w:t>
            </w:r>
          </w:p>
        </w:tc>
      </w:tr>
      <w:tr w:rsidR="0063404B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39658836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1,152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0A01C1CD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1,212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145745B1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027">
              <w:t>5.2%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3404B" w:rsidRPr="00627017" w14:paraId="68627583" w14:textId="77777777" w:rsidTr="00951726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4516A" w14:textId="0A00A3D7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084A6E" w14:textId="181E9DEC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1BC8" w14:textId="4A1D65A3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3.3%</w:t>
            </w:r>
          </w:p>
        </w:tc>
      </w:tr>
      <w:tr w:rsidR="0063404B" w:rsidRPr="00627017" w14:paraId="43BFC7D0" w14:textId="77777777" w:rsidTr="00951726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7F665" w14:textId="3D61DE6F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bottom"/>
          </w:tcPr>
          <w:p w14:paraId="43559378" w14:textId="69CBF87B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074A72" w14:textId="4B09B3B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63404B" w:rsidRPr="00627017" w14:paraId="74C7B9C3" w14:textId="77777777" w:rsidTr="00951726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2E2C3" w14:textId="281EEB6B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C2C9D9" w14:textId="63995B96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6701C" w14:textId="073AB754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-10.5%</w:t>
            </w:r>
          </w:p>
        </w:tc>
      </w:tr>
      <w:tr w:rsidR="0063404B" w:rsidRPr="00627017" w14:paraId="719D3710" w14:textId="77777777" w:rsidTr="00951726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0C1" w14:textId="446A0A91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1,563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F38483E" w14:textId="0CA5D626" w:rsidR="0063404B" w:rsidRPr="00627017" w:rsidRDefault="0063404B" w:rsidP="0063404B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1,628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383D86" w14:textId="34EB7C54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26B808C4" w14:textId="77777777" w:rsidR="0077154C" w:rsidRDefault="0077154C" w:rsidP="00F84C72">
      <w:r w:rsidRPr="0077154C">
        <w:t>Home sales in the Metropolitan Milwaukee market area showed a positive trend in the 1</w:t>
      </w:r>
      <w:r w:rsidRPr="0077154C">
        <w:rPr>
          <w:vertAlign w:val="superscript"/>
        </w:rPr>
        <w:t>st</w:t>
      </w:r>
      <w:r>
        <w:t xml:space="preserve"> </w:t>
      </w:r>
      <w:r w:rsidRPr="0077154C">
        <w:t xml:space="preserve"> quarter of 2024, with a 6.2% increase overall and a 5.2% rise in March alone. </w:t>
      </w:r>
    </w:p>
    <w:p w14:paraId="78AC26E6" w14:textId="77777777" w:rsidR="0077154C" w:rsidRDefault="0077154C" w:rsidP="00F84C72"/>
    <w:p w14:paraId="39132C2C" w14:textId="77777777" w:rsidR="0077154C" w:rsidRDefault="0077154C" w:rsidP="00F84C72">
      <w:r w:rsidRPr="0077154C">
        <w:t xml:space="preserve">Listings also saw an uptick, rising by 4.4% in March and 9.9% through the 1st quarter compared to 2023. </w:t>
      </w:r>
    </w:p>
    <w:p w14:paraId="1D8C6059" w14:textId="77777777" w:rsidR="0077154C" w:rsidRDefault="0077154C" w:rsidP="00F84C72"/>
    <w:p w14:paraId="6447A985" w14:textId="2F92607D" w:rsidR="0077154C" w:rsidRDefault="0077154C" w:rsidP="00F84C72">
      <w:r w:rsidRPr="0077154C">
        <w:t>This increase in both listings and sales might indicate that sellers and buyers are adjusting to the presence of higher interest rates as a long-term reality</w:t>
      </w:r>
      <w:r>
        <w:t>.</w:t>
      </w:r>
    </w:p>
    <w:p w14:paraId="129C7C33" w14:textId="77777777" w:rsidR="0077154C" w:rsidRDefault="0077154C" w:rsidP="00F84C72"/>
    <w:p w14:paraId="427B9F12" w14:textId="34041307" w:rsidR="00A364ED" w:rsidRDefault="0077154C" w:rsidP="00F84C72">
      <w:r>
        <w:t>Moreover, prices continued their upward trajectory, marking an 8.9% increase through the 1</w:t>
      </w:r>
      <w:r w:rsidRPr="0077154C">
        <w:rPr>
          <w:vertAlign w:val="superscript"/>
        </w:rPr>
        <w:t>st</w:t>
      </w:r>
      <w:r>
        <w:t xml:space="preserve"> </w:t>
      </w:r>
      <w:r>
        <w:t>quarter, extending a twelve-year streak</w:t>
      </w:r>
      <w:r w:rsidR="00A364ED">
        <w:t xml:space="preserve">. </w:t>
      </w:r>
    </w:p>
    <w:p w14:paraId="56441630" w14:textId="77777777" w:rsidR="00A364ED" w:rsidRDefault="00A364ED" w:rsidP="00F84C72"/>
    <w:p w14:paraId="54ACFC4E" w14:textId="7467F695" w:rsidR="00591C7A" w:rsidRPr="00092126" w:rsidRDefault="0077154C" w:rsidP="00F84C72">
      <w:r w:rsidRPr="0077154C">
        <w:t xml:space="preserve">This surge in prices can be attributed to the persistent issue of limited new listings and construction, a problem that has </w:t>
      </w:r>
      <w:r>
        <w:t>endured</w:t>
      </w:r>
      <w:r w:rsidRPr="0077154C">
        <w:t xml:space="preserve"> </w:t>
      </w:r>
      <w:r w:rsidRPr="0077154C">
        <w:t>for years. However, there's a glimmer of hope in the new construction sector</w:t>
      </w:r>
      <w:r w:rsidR="00A364ED">
        <w:t>.</w:t>
      </w:r>
    </w:p>
    <w:p w14:paraId="6D7EF014" w14:textId="77777777" w:rsidR="004B2A93" w:rsidRDefault="004B2A93" w:rsidP="00F84C72"/>
    <w:p w14:paraId="4FE50EF4" w14:textId="57264CE0" w:rsidR="00785F83" w:rsidRPr="00CF1195" w:rsidRDefault="00105A82" w:rsidP="00F84C72">
      <w:r>
        <w:t xml:space="preserve">Through </w:t>
      </w:r>
      <w:r w:rsidR="00CF1195">
        <w:t>February</w:t>
      </w:r>
      <w:r w:rsidR="00542FF4">
        <w:t>,</w:t>
      </w:r>
      <w:r w:rsidR="007A5A12" w:rsidRPr="007A5A12">
        <w:t xml:space="preserve"> </w:t>
      </w:r>
      <w:r w:rsidR="00CF1195">
        <w:t>288</w:t>
      </w:r>
      <w:r w:rsidR="003244DA" w:rsidRPr="00CF1195">
        <w:t xml:space="preserve"> </w:t>
      </w:r>
      <w:r w:rsidRPr="00CF1195">
        <w:t>new construction</w:t>
      </w:r>
      <w:r w:rsidR="003244DA" w:rsidRPr="00CF1195">
        <w:t xml:space="preserve"> permits were taken out in the 4-county area, </w:t>
      </w:r>
      <w:r w:rsidR="00CF1195" w:rsidRPr="00CF1195">
        <w:t>44</w:t>
      </w:r>
      <w:r w:rsidRPr="00CF1195">
        <w:t>.</w:t>
      </w:r>
      <w:r w:rsidR="00CF1195" w:rsidRPr="00CF1195">
        <w:t>5</w:t>
      </w:r>
      <w:r w:rsidR="003244DA" w:rsidRPr="00CF1195">
        <w:t xml:space="preserve">% </w:t>
      </w:r>
      <w:r w:rsidR="00CF1195" w:rsidRPr="00CF1195">
        <w:t xml:space="preserve">above </w:t>
      </w:r>
      <w:r w:rsidR="003244DA" w:rsidRPr="00CF1195">
        <w:t>the same period in 202</w:t>
      </w:r>
      <w:r w:rsidR="00CF1195" w:rsidRPr="00CF1195">
        <w:t>3</w:t>
      </w:r>
      <w:r w:rsidR="00BD05F0" w:rsidRPr="00CF1195">
        <w:t>,</w:t>
      </w:r>
      <w:r w:rsidR="00CF1195">
        <w:t xml:space="preserve"> good news but well below the </w:t>
      </w:r>
      <w:r w:rsidR="008D5219" w:rsidRPr="00CF1195">
        <w:t>production</w:t>
      </w:r>
      <w:r w:rsidR="00CF1195">
        <w:t xml:space="preserve"> level needed to meet demand</w:t>
      </w:r>
      <w:r w:rsidR="008D5219" w:rsidRPr="00CF1195">
        <w:t>.</w:t>
      </w:r>
      <w:r w:rsidR="007A5A12" w:rsidRPr="00CF1195">
        <w:t xml:space="preserve"> </w:t>
      </w:r>
    </w:p>
    <w:p w14:paraId="699E76B4" w14:textId="77777777" w:rsidR="00C434EA" w:rsidRDefault="00C434EA" w:rsidP="00F84C72"/>
    <w:p w14:paraId="571D0DF5" w14:textId="1522461F" w:rsidR="00C434EA" w:rsidRDefault="00C434EA" w:rsidP="00F84C72">
      <w:r w:rsidRPr="00C434EA">
        <w:lastRenderedPageBreak/>
        <w:t xml:space="preserve">New construction would normally add 3,000 - 4,000 units to the market annually, but that market segment has been down by </w:t>
      </w:r>
      <w:r>
        <w:t xml:space="preserve">about </w:t>
      </w:r>
      <w:r w:rsidR="00306E84">
        <w:t>5</w:t>
      </w:r>
      <w:r w:rsidRPr="00C434EA">
        <w:t xml:space="preserve">0% </w:t>
      </w:r>
      <w:r>
        <w:t>since the Great Recession</w:t>
      </w:r>
      <w:r w:rsidRPr="00C434EA">
        <w:t>.</w:t>
      </w:r>
      <w:r w:rsidR="00105A82">
        <w:t xml:space="preserve"> </w:t>
      </w:r>
    </w:p>
    <w:p w14:paraId="283B4716" w14:textId="77777777" w:rsidR="007C3421" w:rsidRPr="007A5A12" w:rsidRDefault="007C3421" w:rsidP="00F84C72"/>
    <w:p w14:paraId="54C70D28" w14:textId="0C45EB26" w:rsidR="00306E84" w:rsidRDefault="002920FB" w:rsidP="0077154C">
      <w:pPr>
        <w:ind w:right="-270"/>
      </w:pPr>
      <w:r>
        <w:t xml:space="preserve">The supply of inventory on hand was </w:t>
      </w:r>
      <w:r w:rsidRPr="00F84C72">
        <w:t xml:space="preserve">only enough to satisfy </w:t>
      </w:r>
      <w:r w:rsidR="00AC28D6">
        <w:t>2</w:t>
      </w:r>
      <w:r>
        <w:t>.</w:t>
      </w:r>
      <w:r w:rsidR="00A364ED">
        <w:t>3</w:t>
      </w:r>
      <w:r w:rsidRPr="00F84C72">
        <w:t xml:space="preserve"> months of </w:t>
      </w:r>
      <w:r>
        <w:t xml:space="preserve">buyer </w:t>
      </w:r>
      <w:r w:rsidRPr="00F84C72">
        <w:t>demand</w:t>
      </w:r>
      <w:r w:rsidR="00AC28D6">
        <w:t xml:space="preserve"> </w:t>
      </w:r>
      <w:r w:rsidR="00A364ED">
        <w:t>in the 1</w:t>
      </w:r>
      <w:r w:rsidR="00A364ED" w:rsidRPr="00A364ED">
        <w:rPr>
          <w:vertAlign w:val="superscript"/>
        </w:rPr>
        <w:t>st</w:t>
      </w:r>
      <w:r w:rsidR="00A364ED">
        <w:t xml:space="preserve"> quarter</w:t>
      </w:r>
      <w:r w:rsidRPr="00F84C72">
        <w:t xml:space="preserve">, and if we subtract units with an offer that level drops to </w:t>
      </w:r>
      <w:r w:rsidR="00AC28D6">
        <w:t>0</w:t>
      </w:r>
      <w:r w:rsidR="00A364ED">
        <w:t>.9</w:t>
      </w:r>
      <w:r w:rsidRPr="00F84C72">
        <w:t xml:space="preserve"> month</w:t>
      </w:r>
      <w:r w:rsidR="00A364ED">
        <w:t>s</w:t>
      </w:r>
      <w:r w:rsidR="0077154C">
        <w:t xml:space="preserve">, </w:t>
      </w:r>
      <w:r w:rsidR="0077154C" w:rsidRPr="0077154C">
        <w:t>significantly below the balanced market assumption of 6 months</w:t>
      </w:r>
      <w:r>
        <w:t xml:space="preserve">. </w:t>
      </w:r>
    </w:p>
    <w:tbl>
      <w:tblPr>
        <w:tblpPr w:leftFromText="187" w:rightFromText="288" w:bottomFromText="115" w:vertAnchor="text" w:horzAnchor="margin" w:tblpXSpec="right" w:tblpY="-48"/>
        <w:tblW w:w="4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  <w:gridCol w:w="7"/>
      </w:tblGrid>
      <w:tr w:rsidR="00C8517F" w:rsidRPr="00627017" w14:paraId="27CF209A" w14:textId="77777777" w:rsidTr="00C8517F">
        <w:trPr>
          <w:trHeight w:val="432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254E" w14:textId="77D6B0A2" w:rsidR="00C8517F" w:rsidRPr="00627017" w:rsidRDefault="00254EA2" w:rsidP="00C8517F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54EA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851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Quarter </w:t>
            </w:r>
            <w:r w:rsidR="00C8517F">
              <w:rPr>
                <w:rFonts w:ascii="Arial" w:hAnsi="Arial" w:cs="Arial"/>
                <w:b/>
                <w:sz w:val="24"/>
                <w:szCs w:val="24"/>
              </w:rPr>
              <w:t>Listings</w:t>
            </w:r>
          </w:p>
        </w:tc>
      </w:tr>
      <w:tr w:rsidR="00C8517F" w:rsidRPr="00627017" w14:paraId="2B7E587D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50228E88" w14:textId="77777777" w:rsidR="00C8517F" w:rsidRPr="00627017" w:rsidRDefault="00C8517F" w:rsidP="00C8517F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2E866" w14:textId="439ABCA9" w:rsidR="00C8517F" w:rsidRPr="00627017" w:rsidRDefault="00C8517F" w:rsidP="00C8517F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6799" w14:textId="034128B0" w:rsidR="00C8517F" w:rsidRPr="00627017" w:rsidRDefault="00C8517F" w:rsidP="00C8517F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4F452A8E" w14:textId="77777777" w:rsidR="00C8517F" w:rsidRPr="00627017" w:rsidRDefault="00C8517F" w:rsidP="00C8517F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3404B" w:rsidRPr="00627017" w14:paraId="6925E492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57127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B26C" w14:textId="0A56FB92" w:rsidR="0063404B" w:rsidRPr="00627017" w:rsidRDefault="0063404B" w:rsidP="0063404B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2,308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9721" w14:textId="315CA67B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2,672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981D1" w14:textId="1D4C3AE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>15.8%</w:t>
            </w:r>
          </w:p>
        </w:tc>
      </w:tr>
      <w:tr w:rsidR="0063404B" w:rsidRPr="00627017" w14:paraId="20D69A6E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EB756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5993" w14:textId="2114BB06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1,041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35A4" w14:textId="3FBDCB3B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990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F7BB3B" w14:textId="48AF2FC9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>-4.9%</w:t>
            </w:r>
          </w:p>
        </w:tc>
      </w:tr>
      <w:tr w:rsidR="0063404B" w:rsidRPr="00627017" w14:paraId="08331AD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F3930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CE5C" w14:textId="51F892AE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316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9D28" w14:textId="0F71E716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416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7B338" w14:textId="5F911CF9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>31.6%</w:t>
            </w:r>
          </w:p>
        </w:tc>
      </w:tr>
      <w:tr w:rsidR="0063404B" w:rsidRPr="00627017" w14:paraId="01256271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D6D1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E90E" w14:textId="7F505A72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262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871C" w14:textId="5CCF7217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236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6A2DDD8" w14:textId="7069414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>-9.9%</w:t>
            </w:r>
          </w:p>
        </w:tc>
      </w:tr>
      <w:tr w:rsidR="0063404B" w:rsidRPr="00627017" w14:paraId="7ED582EA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E4628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3818" w14:textId="7A603E64" w:rsidR="0063404B" w:rsidRPr="00627017" w:rsidRDefault="0063404B" w:rsidP="0063404B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3,927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F052" w14:textId="01918727" w:rsidR="0063404B" w:rsidRPr="00627017" w:rsidRDefault="0063404B" w:rsidP="0063404B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537A16">
              <w:t xml:space="preserve"> 4,314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A6083" w14:textId="182F959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A16">
              <w:t>9.9%</w:t>
            </w:r>
          </w:p>
        </w:tc>
      </w:tr>
      <w:tr w:rsidR="00C8517F" w:rsidRPr="00627017" w14:paraId="4FE54870" w14:textId="77777777" w:rsidTr="00C8517F">
        <w:trPr>
          <w:trHeight w:val="80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38A0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3404B" w:rsidRPr="00627017" w14:paraId="317C5D1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C343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9B43" w14:textId="1AD6212A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555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C1C7A" w14:textId="0C933234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525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4492" w14:textId="544FE03E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>-5.4%</w:t>
            </w:r>
          </w:p>
        </w:tc>
      </w:tr>
      <w:tr w:rsidR="0063404B" w:rsidRPr="00627017" w14:paraId="063DE67C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3E10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B073" w14:textId="0A352BB0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385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607EDF0" w14:textId="204AAAEA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437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93FF8F0" w14:textId="629935E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>13.5%</w:t>
            </w:r>
          </w:p>
        </w:tc>
      </w:tr>
      <w:tr w:rsidR="0063404B" w:rsidRPr="00627017" w14:paraId="27FAF1AB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FC79D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9E16" w14:textId="7B7FCA11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364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299D8" w14:textId="40467BEC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429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4C3DF" w14:textId="6804F1EF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>17.9%</w:t>
            </w:r>
          </w:p>
        </w:tc>
      </w:tr>
      <w:tr w:rsidR="0063404B" w:rsidRPr="00627017" w14:paraId="588FB17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F4AD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7C99" w14:textId="5BB5032E" w:rsidR="0063404B" w:rsidRPr="00627017" w:rsidRDefault="0063404B" w:rsidP="0063404B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5,231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B0B4B4" w14:textId="41960B5C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 xml:space="preserve"> 5,705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1111CEF" w14:textId="614E3CBC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C9">
              <w:t>9.1%</w:t>
            </w:r>
          </w:p>
        </w:tc>
      </w:tr>
      <w:tr w:rsidR="00C8517F" w:rsidRPr="00627017" w14:paraId="62A87094" w14:textId="77777777" w:rsidTr="00C8517F">
        <w:trPr>
          <w:trHeight w:val="288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4994" w14:textId="77777777" w:rsidR="00C8517F" w:rsidRPr="00627017" w:rsidRDefault="00C8517F" w:rsidP="00C8517F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8517F" w:rsidRPr="00627017" w14:paraId="0FBFAE78" w14:textId="77777777" w:rsidTr="00C8517F">
        <w:trPr>
          <w:trHeight w:val="432"/>
        </w:trPr>
        <w:tc>
          <w:tcPr>
            <w:tcW w:w="4337" w:type="dxa"/>
            <w:gridSpan w:val="5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D858" w14:textId="34BE0DDC" w:rsidR="00C8517F" w:rsidRPr="00627017" w:rsidRDefault="00C8517F" w:rsidP="00C8517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54EA2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C8517F" w:rsidRPr="00627017" w14:paraId="7361C13F" w14:textId="77777777" w:rsidTr="00C8517F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E6DE" w14:textId="77777777" w:rsidR="00C8517F" w:rsidRPr="00627017" w:rsidRDefault="00C8517F" w:rsidP="00C8517F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B21C" w14:textId="367BD506" w:rsidR="00C8517F" w:rsidRPr="00627017" w:rsidRDefault="00C8517F" w:rsidP="00C8517F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0FE29F63" w14:textId="16865FD2" w:rsidR="00C8517F" w:rsidRPr="00627017" w:rsidRDefault="00C8517F" w:rsidP="00C8517F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40949D2" w14:textId="77777777" w:rsidR="00C8517F" w:rsidRPr="00627017" w:rsidRDefault="00C8517F" w:rsidP="00C8517F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63404B" w:rsidRPr="00627017" w14:paraId="144EAA49" w14:textId="77777777" w:rsidTr="00986E07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846D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C80ADD" w14:textId="592CD675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57BC8" w14:textId="40E735DF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1038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A63AD" w14:textId="0CF71FC6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14.2%</w:t>
            </w:r>
          </w:p>
        </w:tc>
      </w:tr>
      <w:tr w:rsidR="0063404B" w:rsidRPr="00627017" w14:paraId="5BB9202D" w14:textId="77777777" w:rsidTr="00986E07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5C1B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54A61" w14:textId="06205A77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</w:tcPr>
          <w:p w14:paraId="01C34B86" w14:textId="555942A6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C3516D1" w14:textId="3A2BAA5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-15.2%</w:t>
            </w:r>
          </w:p>
        </w:tc>
      </w:tr>
      <w:tr w:rsidR="0063404B" w:rsidRPr="00627017" w14:paraId="296F41AA" w14:textId="77777777" w:rsidTr="00986E07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3D6E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5920E" w14:textId="1BB9CC03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10EE7" w14:textId="09C7E6CC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5C2CF" w14:textId="419341E8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-13.1%</w:t>
            </w:r>
          </w:p>
        </w:tc>
      </w:tr>
      <w:tr w:rsidR="0063404B" w:rsidRPr="00627017" w14:paraId="50FF3087" w14:textId="77777777" w:rsidTr="00986E07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CEA8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2C9D7" w14:textId="40C5D66A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vAlign w:val="bottom"/>
          </w:tcPr>
          <w:p w14:paraId="79260987" w14:textId="4D553389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43488ABC" w14:textId="19C2DCF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16.4%</w:t>
            </w:r>
          </w:p>
        </w:tc>
      </w:tr>
      <w:tr w:rsidR="0063404B" w:rsidRPr="00627017" w14:paraId="12951702" w14:textId="77777777" w:rsidTr="00986E07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89E6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3B1C" w14:textId="7A05EFFD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1,583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072FE" w14:textId="0D172B52" w:rsidR="0063404B" w:rsidRPr="00627017" w:rsidRDefault="0063404B" w:rsidP="0063404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8619A" w14:textId="2229B18A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4.4%</w:t>
            </w:r>
          </w:p>
        </w:tc>
      </w:tr>
      <w:tr w:rsidR="00C8517F" w:rsidRPr="00627017" w14:paraId="2DE3568E" w14:textId="77777777" w:rsidTr="00C8517F">
        <w:trPr>
          <w:trHeight w:val="86"/>
        </w:trPr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54D4" w14:textId="77777777" w:rsidR="00C8517F" w:rsidRPr="00627017" w:rsidRDefault="00C8517F" w:rsidP="00C8517F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3404B" w:rsidRPr="00627017" w14:paraId="1C573AB7" w14:textId="77777777" w:rsidTr="000D0E1A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6413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17E241" w14:textId="3CD86930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F97AC" w14:textId="4D42E789" w:rsidR="0063404B" w:rsidRPr="00627017" w:rsidRDefault="0063404B" w:rsidP="0063404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AD4D" w14:textId="500DA1BE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-6.6%</w:t>
            </w:r>
          </w:p>
        </w:tc>
      </w:tr>
      <w:tr w:rsidR="0063404B" w:rsidRPr="00627017" w14:paraId="64F8B02F" w14:textId="77777777" w:rsidTr="000D0E1A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4CDB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5473F" w14:textId="25829C3C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bottom"/>
          </w:tcPr>
          <w:p w14:paraId="0E7B25FD" w14:textId="71473D75" w:rsidR="0063404B" w:rsidRPr="00627017" w:rsidRDefault="0063404B" w:rsidP="0063404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256D162E" w14:textId="089847D1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4.6%</w:t>
            </w:r>
          </w:p>
        </w:tc>
      </w:tr>
      <w:tr w:rsidR="0063404B" w:rsidRPr="00627017" w14:paraId="4D06EFFA" w14:textId="77777777" w:rsidTr="000D0E1A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F43C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570A0" w14:textId="2745F76E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5E60E7" w14:textId="116E6BAE" w:rsidR="0063404B" w:rsidRPr="00627017" w:rsidRDefault="0063404B" w:rsidP="0063404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828ED" w14:textId="4412B9F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-15.2%</w:t>
            </w:r>
          </w:p>
        </w:tc>
      </w:tr>
      <w:tr w:rsidR="0063404B" w:rsidRPr="00627017" w14:paraId="62E2F106" w14:textId="77777777" w:rsidTr="000D0E1A">
        <w:trPr>
          <w:gridAfter w:val="1"/>
          <w:wAfter w:w="7" w:type="dxa"/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289B" w14:textId="77777777" w:rsidR="0063404B" w:rsidRPr="00627017" w:rsidRDefault="0063404B" w:rsidP="0063404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9388" w14:textId="1163F5A0" w:rsidR="0063404B" w:rsidRPr="00627017" w:rsidRDefault="0063404B" w:rsidP="0063404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27FB9E5A" w14:textId="2A471BAD" w:rsidR="0063404B" w:rsidRPr="00627017" w:rsidRDefault="0063404B" w:rsidP="0063404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AF6A348" w14:textId="0C4256B2" w:rsidR="0063404B" w:rsidRPr="00627017" w:rsidRDefault="0063404B" w:rsidP="0063404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1.6%</w:t>
            </w:r>
          </w:p>
        </w:tc>
      </w:tr>
    </w:tbl>
    <w:p w14:paraId="4751AF37" w14:textId="77777777" w:rsidR="007C3421" w:rsidRDefault="007C3421" w:rsidP="007C3421"/>
    <w:p w14:paraId="23BBB89C" w14:textId="5E973E23" w:rsidR="007C3421" w:rsidRPr="00092126" w:rsidRDefault="007C3421" w:rsidP="007C3421">
      <w:pPr>
        <w:pStyle w:val="SectionCallout"/>
        <w:rPr>
          <w:sz w:val="27"/>
          <w:szCs w:val="27"/>
        </w:rPr>
      </w:pPr>
      <w:r>
        <w:rPr>
          <w:sz w:val="27"/>
          <w:szCs w:val="27"/>
        </w:rPr>
        <w:t>T</w:t>
      </w:r>
      <w:r w:rsidRPr="00092126">
        <w:rPr>
          <w:sz w:val="27"/>
          <w:szCs w:val="27"/>
        </w:rPr>
        <w:t>he biggest story this month is that as new homes come on the market, they are being gobbled up right away, similar to the old video game “Pac-Man” eating flashing dots.</w:t>
      </w:r>
    </w:p>
    <w:p w14:paraId="73A5F42A" w14:textId="77777777" w:rsidR="007C3421" w:rsidRDefault="007C3421" w:rsidP="007C3421"/>
    <w:p w14:paraId="29FA0B50" w14:textId="7C462CDA" w:rsidR="007C3421" w:rsidRPr="007C3421" w:rsidRDefault="007C3421" w:rsidP="00F84C72">
      <w:pPr>
        <w:rPr>
          <w:bCs/>
          <w:szCs w:val="21"/>
        </w:rPr>
      </w:pPr>
      <w:r>
        <w:rPr>
          <w:bCs/>
          <w:szCs w:val="21"/>
        </w:rPr>
        <w:t xml:space="preserve">The </w:t>
      </w:r>
      <w:r w:rsidRPr="007C3421">
        <w:rPr>
          <w:bCs/>
          <w:szCs w:val="21"/>
        </w:rPr>
        <w:t>biggest story this month is that as new homes come on the market, they are being gobbled up right away, similar to the old video game “Pac-Man” eating flashing</w:t>
      </w:r>
      <w:r>
        <w:rPr>
          <w:bCs/>
          <w:szCs w:val="21"/>
        </w:rPr>
        <w:t xml:space="preserve"> dots. </w:t>
      </w:r>
    </w:p>
    <w:p w14:paraId="67A16E21" w14:textId="77777777" w:rsidR="007C3421" w:rsidRDefault="007C3421" w:rsidP="00F84C72"/>
    <w:p w14:paraId="550827F1" w14:textId="792DDD4D" w:rsidR="00E65D35" w:rsidRDefault="007C3421" w:rsidP="003244DA">
      <w:pPr>
        <w:ind w:right="-180"/>
      </w:pPr>
      <w:r>
        <w:t>A</w:t>
      </w:r>
      <w:r w:rsidR="003244DA">
        <w:t>s we have been highlighting for several years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>an exceedingly difficult</w:t>
      </w:r>
      <w:r w:rsidR="00306E84">
        <w:t xml:space="preserve"> time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7777777" w:rsidR="00E65D35" w:rsidRDefault="00E65D35" w:rsidP="003244DA">
      <w:pPr>
        <w:ind w:right="-180"/>
      </w:pPr>
    </w:p>
    <w:tbl>
      <w:tblPr>
        <w:tblpPr w:leftFromText="187" w:rightFromText="360" w:topFromText="202" w:bottomFromText="288" w:vertAnchor="text" w:horzAnchor="margin" w:tblpY="337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898"/>
        <w:gridCol w:w="94"/>
      </w:tblGrid>
      <w:tr w:rsidR="00C8517F" w:rsidRPr="00DE1D23" w14:paraId="46638E87" w14:textId="77777777" w:rsidTr="007C3421">
        <w:trPr>
          <w:gridAfter w:val="1"/>
          <w:wAfter w:w="94" w:type="dxa"/>
          <w:trHeight w:val="360"/>
        </w:trPr>
        <w:tc>
          <w:tcPr>
            <w:tcW w:w="6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F0DD39" w14:textId="4E93E7F2" w:rsidR="00C8517F" w:rsidRPr="00430E07" w:rsidRDefault="00C8517F" w:rsidP="007C3421">
            <w:pPr>
              <w:spacing w:line="252" w:lineRule="auto"/>
              <w:ind w:right="85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 w:rsidR="00254EA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  <w:r w:rsidR="00254EA2" w:rsidRPr="00254EA2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254EA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 w:rsidR="00350097" w:rsidRPr="005C3BB5">
              <w:rPr>
                <w:rFonts w:ascii="Arial" w:eastAsia="Calibri" w:hAnsi="Arial" w:cs="Arial"/>
                <w:bCs/>
                <w:sz w:val="18"/>
                <w:szCs w:val="18"/>
              </w:rPr>
              <w:t>Mar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31)</w:t>
            </w:r>
          </w:p>
        </w:tc>
      </w:tr>
      <w:tr w:rsidR="00C8517F" w:rsidRPr="00DE1D23" w14:paraId="3A0A4B2D" w14:textId="77777777" w:rsidTr="007C3421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745F9B12" w14:textId="77777777" w:rsidR="00C8517F" w:rsidRPr="00DE1D23" w:rsidRDefault="00C8517F" w:rsidP="007C3421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CED10" w14:textId="7D212D2B" w:rsidR="00C8517F" w:rsidRPr="00DE1D23" w:rsidRDefault="00C8517F" w:rsidP="007C3421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63404B"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F4B76" w14:textId="4F6ECD87" w:rsidR="00C8517F" w:rsidRPr="00DE1D23" w:rsidRDefault="00C8517F" w:rsidP="007C3421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 w:rsidR="0063404B"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1EEE71B" w14:textId="77777777" w:rsidR="00C8517F" w:rsidRPr="00DE1D23" w:rsidRDefault="00C8517F" w:rsidP="007C3421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1524A63E" w14:textId="77777777" w:rsidR="00C8517F" w:rsidRPr="00DE1D23" w:rsidRDefault="00C8517F" w:rsidP="007C3421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63404B" w:rsidRPr="00DE1D23" w14:paraId="54F69C70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CF18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AC13" w14:textId="32C53B40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1471C8">
              <w:t xml:space="preserve"> $252,012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4560" w14:textId="1EBCE37A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B222FA">
              <w:t xml:space="preserve"> $257,299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19B6" w14:textId="7328F636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D7F30">
              <w:t xml:space="preserve"> $5,287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250E8" w14:textId="15B1131C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86610">
              <w:t>2.1%</w:t>
            </w:r>
          </w:p>
        </w:tc>
      </w:tr>
      <w:tr w:rsidR="0063404B" w:rsidRPr="00DE1D23" w14:paraId="185D14D3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C4B75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8805" w14:textId="4299045C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1471C8">
              <w:t xml:space="preserve"> $469,904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EA5B" w14:textId="056521D0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B222FA">
              <w:t xml:space="preserve"> $479,321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CE063EC" w14:textId="44631DEB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D7F30">
              <w:t xml:space="preserve"> $9,417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7663DC9" w14:textId="651EADE7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86610">
              <w:t>2.0%</w:t>
            </w:r>
          </w:p>
        </w:tc>
      </w:tr>
      <w:tr w:rsidR="0063404B" w:rsidRPr="00DE1D23" w14:paraId="779F7BDA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9D19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B95A2" w14:textId="2528415C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1471C8">
              <w:t xml:space="preserve"> $449,872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419E" w14:textId="04885E87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B222FA">
              <w:t xml:space="preserve"> $537,940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A151A" w14:textId="1E7444FE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D7F30">
              <w:t xml:space="preserve"> $88,068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863F4" w14:textId="6AAD0671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86610">
              <w:t>19.</w:t>
            </w:r>
            <w:r>
              <w:t>6</w:t>
            </w:r>
            <w:r w:rsidRPr="00586610">
              <w:t>%</w:t>
            </w:r>
          </w:p>
        </w:tc>
      </w:tr>
      <w:tr w:rsidR="0063404B" w:rsidRPr="00DE1D23" w14:paraId="0E0DCDE8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4FE9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95EE9" w14:textId="49270EB1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1471C8">
              <w:t xml:space="preserve"> $363,401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CC23" w14:textId="3A4FE80E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B222FA">
              <w:t xml:space="preserve"> $396,580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D463D18" w14:textId="014BEF74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D7F30">
              <w:t xml:space="preserve"> $33,179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AA2AE84" w14:textId="1146237C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86610">
              <w:t>9.1%</w:t>
            </w:r>
          </w:p>
        </w:tc>
      </w:tr>
      <w:tr w:rsidR="0063404B" w:rsidRPr="00DE1D23" w14:paraId="3445F6AF" w14:textId="77777777" w:rsidTr="007C3421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E97D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40B2" w14:textId="0621C5F4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1471C8">
              <w:t xml:space="preserve"> $383,797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AFCD" w14:textId="0558F5BE" w:rsidR="0063404B" w:rsidRPr="004F2090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B222FA">
              <w:t xml:space="preserve"> $417,785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1BB9" w14:textId="4E7EA6E3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AD7F30">
              <w:t xml:space="preserve"> $33,988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55049" w14:textId="10C5B5F5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586610">
              <w:t>8.9%</w:t>
            </w:r>
          </w:p>
        </w:tc>
      </w:tr>
      <w:tr w:rsidR="00C8517F" w:rsidRPr="00DE1D23" w14:paraId="7D8225A5" w14:textId="77777777" w:rsidTr="007C3421">
        <w:trPr>
          <w:trHeight w:val="90"/>
        </w:trPr>
        <w:tc>
          <w:tcPr>
            <w:tcW w:w="6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5C48" w14:textId="77777777" w:rsidR="00C8517F" w:rsidRPr="00430E07" w:rsidRDefault="00C8517F" w:rsidP="007C3421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63404B" w:rsidRPr="00DE1D23" w14:paraId="170E8C28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35F0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E991" w14:textId="5C5F5812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AF34CA">
              <w:t xml:space="preserve"> $258,004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2E0D" w14:textId="625A8959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341693">
              <w:t xml:space="preserve"> $295,106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C826A" w14:textId="10DB3C94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07BCE">
              <w:t xml:space="preserve"> $37,102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3E03E" w14:textId="4F4BF70A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B5327">
              <w:t>14.4%</w:t>
            </w:r>
          </w:p>
        </w:tc>
      </w:tr>
      <w:tr w:rsidR="0063404B" w:rsidRPr="00DE1D23" w14:paraId="60EED85F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A816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0766" w14:textId="516E8E22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AF34CA">
              <w:t xml:space="preserve"> $295,673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7865" w14:textId="22EAD15E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341693">
              <w:t xml:space="preserve"> $319,705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1339833" w14:textId="02DA6F91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07BCE">
              <w:t xml:space="preserve"> $24,032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362D0BD" w14:textId="33E3FC9A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B5327">
              <w:t>8.1%</w:t>
            </w:r>
          </w:p>
        </w:tc>
      </w:tr>
      <w:tr w:rsidR="0063404B" w:rsidRPr="00DE1D23" w14:paraId="64F2AA34" w14:textId="77777777" w:rsidTr="007C3421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9C10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ECB4" w14:textId="1D227AB7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AF34CA">
              <w:t xml:space="preserve"> $415,926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7587" w14:textId="25AE2F49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341693">
              <w:t xml:space="preserve"> $510,564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CA877" w14:textId="63CD38D1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07BCE">
              <w:t xml:space="preserve"> $94,638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7B0B3" w14:textId="5CC9A457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B5327">
              <w:t>22.8%</w:t>
            </w:r>
          </w:p>
        </w:tc>
      </w:tr>
      <w:tr w:rsidR="0063404B" w:rsidRPr="00DE1D23" w14:paraId="22BC556C" w14:textId="77777777" w:rsidTr="007C3421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6B4D" w14:textId="77777777" w:rsidR="0063404B" w:rsidRPr="00DE1D23" w:rsidRDefault="0063404B" w:rsidP="007C3421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3DB7" w14:textId="47FB503E" w:rsidR="0063404B" w:rsidRPr="00DE1D23" w:rsidRDefault="0063404B" w:rsidP="007C3421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AF34CA">
              <w:t xml:space="preserve"> $357,827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8007" w14:textId="3A00064B" w:rsidR="0063404B" w:rsidRPr="00430E07" w:rsidRDefault="0063404B" w:rsidP="007C3421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341693">
              <w:t xml:space="preserve"> $399,502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E1971A0" w14:textId="320D657A" w:rsidR="0063404B" w:rsidRPr="00DE1D23" w:rsidRDefault="0063404B" w:rsidP="007C3421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07BCE">
              <w:t xml:space="preserve"> $41,675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128BBE0" w14:textId="622F6478" w:rsidR="0063404B" w:rsidRPr="00DE1D23" w:rsidRDefault="0063404B" w:rsidP="007C3421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B5327">
              <w:t>11.6%</w:t>
            </w:r>
          </w:p>
        </w:tc>
      </w:tr>
    </w:tbl>
    <w:p w14:paraId="4E012A29" w14:textId="2CD01129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0D8213" w14:textId="77777777" w:rsidR="003244DA" w:rsidRDefault="003244DA" w:rsidP="003244DA"/>
    <w:p w14:paraId="55A63DCC" w14:textId="77777777" w:rsidR="003244DA" w:rsidRDefault="003244DA" w:rsidP="003244DA">
      <w:pPr>
        <w:pStyle w:val="ParagraphIntro"/>
      </w:pPr>
    </w:p>
    <w:p w14:paraId="659DA907" w14:textId="77777777" w:rsidR="003244DA" w:rsidRDefault="003244DA" w:rsidP="003244DA">
      <w:pPr>
        <w:spacing w:after="160" w:line="259" w:lineRule="auto"/>
        <w:contextualSpacing w:val="0"/>
        <w:rPr>
          <w:rFonts w:cs="Arial"/>
          <w:b/>
          <w:bCs/>
          <w:sz w:val="24"/>
          <w:u w:val="single"/>
        </w:rPr>
      </w:pPr>
      <w:r>
        <w:br w:type="page"/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32236AA2" w:rsidR="00722A43" w:rsidRDefault="0063404B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3BE9668" wp14:editId="119CC72F">
            <wp:extent cx="5486400" cy="3200400"/>
            <wp:effectExtent l="0" t="0" r="0" b="0"/>
            <wp:docPr id="8240491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672BB75B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254EA2">
        <w:rPr>
          <w:rStyle w:val="NormalCalloutText"/>
        </w:rPr>
        <w:t>March</w:t>
      </w:r>
      <w:r w:rsidR="0060287B" w:rsidRPr="00F84C72">
        <w:rPr>
          <w:rStyle w:val="NormalCalloutText"/>
        </w:rPr>
        <w:t xml:space="preserve"> was </w:t>
      </w:r>
      <w:r w:rsidR="00E65D35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63404B">
        <w:rPr>
          <w:rStyle w:val="NormalCalloutText"/>
        </w:rPr>
        <w:t>5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65D35">
        <w:rPr>
          <w:b/>
          <w:bCs/>
          <w:color w:val="203058"/>
        </w:rPr>
        <w:t>2,</w:t>
      </w:r>
      <w:r w:rsidR="0063404B">
        <w:rPr>
          <w:b/>
          <w:bCs/>
          <w:color w:val="203058"/>
        </w:rPr>
        <w:t>503</w:t>
      </w:r>
      <w:r w:rsidR="00FE2AA3" w:rsidRPr="00F84C72">
        <w:rPr>
          <w:rStyle w:val="NormalCalloutText"/>
        </w:rPr>
        <w:t xml:space="preserve"> listings, which equals </w:t>
      </w:r>
      <w:r w:rsidR="0063404B">
        <w:rPr>
          <w:rStyle w:val="NormalCalloutText"/>
        </w:rPr>
        <w:t>0</w:t>
      </w:r>
      <w:r w:rsidR="00E31F8C">
        <w:rPr>
          <w:rStyle w:val="NormalCalloutText"/>
        </w:rPr>
        <w:t>.</w:t>
      </w:r>
      <w:r w:rsidR="0063404B">
        <w:rPr>
          <w:rStyle w:val="NormalCalloutText"/>
        </w:rPr>
        <w:t>9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4C34BE72" w:rsidR="00FE2AA3" w:rsidRDefault="0063404B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1E7AEC90" wp14:editId="6CD21F49">
            <wp:extent cx="5486400" cy="2971800"/>
            <wp:effectExtent l="0" t="0" r="0" b="0"/>
            <wp:docPr id="12584277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3A32C98A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E65D35" w:rsidRPr="00E65D35">
        <w:t>3</w:t>
      </w:r>
      <w:r w:rsidRPr="00E65D35">
        <w:t>,</w:t>
      </w:r>
      <w:r w:rsidR="0063404B">
        <w:t>374</w:t>
      </w:r>
      <w:r w:rsidRPr="00E65D35">
        <w:t xml:space="preserve"> current listings providing </w:t>
      </w:r>
      <w:r w:rsidR="00E65D35" w:rsidRPr="00E65D35">
        <w:t>2.</w:t>
      </w:r>
      <w:r w:rsidR="00350097">
        <w:t>5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350097">
        <w:rPr>
          <w:rStyle w:val="NormalCalloutText"/>
        </w:rPr>
        <w:t>4</w:t>
      </w:r>
      <w:r w:rsidRPr="00F84C72">
        <w:rPr>
          <w:rStyle w:val="NormalCalloutText"/>
        </w:rPr>
        <w:t>,</w:t>
      </w:r>
      <w:r w:rsidR="00350097">
        <w:rPr>
          <w:rStyle w:val="NormalCalloutText"/>
        </w:rPr>
        <w:t>8</w:t>
      </w:r>
      <w:r w:rsidR="00F51A3F">
        <w:rPr>
          <w:rStyle w:val="NormalCalloutText"/>
        </w:rPr>
        <w:t>0</w:t>
      </w:r>
      <w:r w:rsidR="002920FB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3E563680" w:rsidR="00A5422D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C75A3A5" wp14:editId="5C06E398">
            <wp:extent cx="5943600" cy="3396615"/>
            <wp:effectExtent l="0" t="0" r="0" b="13335"/>
            <wp:docPr id="16004002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CC9DB2-F818-46DB-B2B6-336FDDC6F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05063171" w:rsidR="006146B0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59A37DE9" wp14:editId="01B91454">
            <wp:extent cx="5943600" cy="3396615"/>
            <wp:effectExtent l="0" t="0" r="0" b="13335"/>
            <wp:docPr id="19882981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B56237D-54C0-4849-8C75-6FC35DE051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50704B46" w:rsidR="006146B0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F049DE8" wp14:editId="6C70B966">
            <wp:extent cx="5943600" cy="3396615"/>
            <wp:effectExtent l="0" t="0" r="0" b="13335"/>
            <wp:docPr id="18907518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D8CAE8-3E40-46D6-A942-BEDAA168F3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20AA5D0" w14:textId="6D87D308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D32AA0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0EB7DC23" w14:textId="3DFCB391" w:rsidR="006146B0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281A017" wp14:editId="7A171FA0">
            <wp:extent cx="5943600" cy="3396615"/>
            <wp:effectExtent l="0" t="0" r="0" b="13335"/>
            <wp:docPr id="3378033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FEF32A-D1AF-4A9C-AAE6-3E388C2211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E9EAE55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54E5F232" w14:textId="1602276D" w:rsidR="006146B0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BAF2EC0" wp14:editId="57412AE3">
            <wp:extent cx="5943600" cy="3396615"/>
            <wp:effectExtent l="0" t="0" r="0" b="13335"/>
            <wp:docPr id="20803607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0C3EA1-F4C5-43FC-A29A-CA8C56663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F3DB9CD" w14:textId="4E0D982E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38B992" w14:textId="77777777" w:rsidR="00BC0D66" w:rsidRDefault="00BC0D66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7A940B14" w14:textId="55FC19EC" w:rsidR="006146B0" w:rsidRDefault="00350097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37B5185" wp14:editId="23F709D6">
            <wp:extent cx="5943600" cy="3396615"/>
            <wp:effectExtent l="0" t="0" r="0" b="13335"/>
            <wp:docPr id="5467621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081879-E2DA-4F7A-95EB-6EDC184B7E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83ECFD9" w14:textId="6B2FBB02" w:rsidR="007C3421" w:rsidRDefault="007C3421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2626E0" w14:textId="22F6357E" w:rsidR="006146B0" w:rsidRDefault="006D1DE2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A6EEE1D" wp14:editId="2A5D911D">
            <wp:extent cx="5943600" cy="3474720"/>
            <wp:effectExtent l="0" t="0" r="0" b="11430"/>
            <wp:docPr id="2678421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1AC7E1E-9912-41A8-8984-7EA51C9C6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6168EDF" w14:textId="77777777" w:rsidR="006D1DE2" w:rsidRDefault="006D1DE2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F178FE3" w14:textId="458AAFCE" w:rsidR="006D1DE2" w:rsidRPr="006D1DE2" w:rsidRDefault="006D1DE2">
      <w:pPr>
        <w:spacing w:after="160" w:line="259" w:lineRule="auto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4875005" wp14:editId="7A5F3DB6">
            <wp:extent cx="5943600" cy="3474720"/>
            <wp:effectExtent l="0" t="0" r="0" b="11430"/>
            <wp:docPr id="7238414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0F00E26-C858-4634-A503-18A89103B3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sectPr w:rsidR="006D1DE2" w:rsidRPr="006D1DE2" w:rsidSect="00A5422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47CC9"/>
    <w:rsid w:val="00350097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4F209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3BB5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8C4"/>
    <w:rsid w:val="00E6481D"/>
    <w:rsid w:val="00E64AEC"/>
    <w:rsid w:val="00E65D35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New%20Construction%20Housing%20Permit%20Dat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1%20-%20New%20Construction%20Housing%20Permit%20Dat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1819</c:v>
                </c:pt>
                <c:pt idx="1">
                  <c:v>1918</c:v>
                </c:pt>
                <c:pt idx="2">
                  <c:v>2277</c:v>
                </c:pt>
                <c:pt idx="3">
                  <c:v>2295</c:v>
                </c:pt>
                <c:pt idx="4">
                  <c:v>2762</c:v>
                </c:pt>
                <c:pt idx="5">
                  <c:v>2816</c:v>
                </c:pt>
                <c:pt idx="6">
                  <c:v>3054</c:v>
                </c:pt>
                <c:pt idx="7">
                  <c:v>2792</c:v>
                </c:pt>
                <c:pt idx="8">
                  <c:v>2275</c:v>
                </c:pt>
                <c:pt idx="9">
                  <c:v>2119</c:v>
                </c:pt>
                <c:pt idx="10">
                  <c:v>1833</c:v>
                </c:pt>
                <c:pt idx="11">
                  <c:v>2055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3A-4B1A-93E5-7E83B4A1BE96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1427</c:v>
                </c:pt>
                <c:pt idx="1">
                  <c:v>1557</c:v>
                </c:pt>
                <c:pt idx="2">
                  <c:v>1537</c:v>
                </c:pt>
                <c:pt idx="3">
                  <c:v>1519</c:v>
                </c:pt>
                <c:pt idx="4">
                  <c:v>1421</c:v>
                </c:pt>
                <c:pt idx="5">
                  <c:v>1424</c:v>
                </c:pt>
                <c:pt idx="6">
                  <c:v>1178</c:v>
                </c:pt>
                <c:pt idx="7">
                  <c:v>971</c:v>
                </c:pt>
                <c:pt idx="8">
                  <c:v>804</c:v>
                </c:pt>
                <c:pt idx="9">
                  <c:v>965</c:v>
                </c:pt>
                <c:pt idx="10">
                  <c:v>1181</c:v>
                </c:pt>
                <c:pt idx="11">
                  <c:v>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3A-4B1A-93E5-7E83B4A1B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2.1</c:v>
                </c:pt>
                <c:pt idx="1">
                  <c:v>2.2999999999999998</c:v>
                </c:pt>
                <c:pt idx="2">
                  <c:v>2.6</c:v>
                </c:pt>
                <c:pt idx="3">
                  <c:v>2.6</c:v>
                </c:pt>
                <c:pt idx="4">
                  <c:v>2.9</c:v>
                </c:pt>
                <c:pt idx="5">
                  <c:v>3.1</c:v>
                </c:pt>
                <c:pt idx="6">
                  <c:v>3.1</c:v>
                </c:pt>
                <c:pt idx="7">
                  <c:v>2.8</c:v>
                </c:pt>
                <c:pt idx="8">
                  <c:v>2.2999999999999998</c:v>
                </c:pt>
                <c:pt idx="9">
                  <c:v>2.2999999999999998</c:v>
                </c:pt>
                <c:pt idx="10">
                  <c:v>2.2000000000000002</c:v>
                </c:pt>
                <c:pt idx="11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3A-4B1A-93E5-7E83B4A1BE96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April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Sept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0.7</c:v>
                </c:pt>
                <c:pt idx="1">
                  <c:v>0.8</c:v>
                </c:pt>
                <c:pt idx="2">
                  <c:v>1</c:v>
                </c:pt>
                <c:pt idx="3">
                  <c:v>1.1000000000000001</c:v>
                </c:pt>
                <c:pt idx="4">
                  <c:v>1.4</c:v>
                </c:pt>
                <c:pt idx="5">
                  <c:v>1.4</c:v>
                </c:pt>
                <c:pt idx="6">
                  <c:v>1.6</c:v>
                </c:pt>
                <c:pt idx="7">
                  <c:v>1.4</c:v>
                </c:pt>
                <c:pt idx="8">
                  <c:v>0.8</c:v>
                </c:pt>
                <c:pt idx="9">
                  <c:v>1</c:v>
                </c:pt>
                <c:pt idx="10">
                  <c:v>1</c:v>
                </c:pt>
                <c:pt idx="11" formatCode="_(* #,##0_);_(* \(#,##0\);_(* &quot;-&quot;??_);_(@_)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E3A-4B1A-93E5-7E83B4A1BE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/>
                </a:solidFill>
              </a:rPr>
              <a:t>Total Annual 7-Cty Single Family New Const. Permits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000" b="0" i="0" u="none" strike="noStrike" kern="1200" spc="0" baseline="0">
                <a:solidFill>
                  <a:sysClr val="windowText" lastClr="000000"/>
                </a:solidFill>
              </a:rPr>
              <a:t>(2024 Through February)</a:t>
            </a:r>
            <a:r>
              <a:rPr lang="en-US" sz="1400" b="0" i="0" u="none" strike="noStrike" kern="1200" spc="0" baseline="0">
                <a:solidFill>
                  <a:sysClr val="windowText" lastClr="000000"/>
                </a:solidFill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'1999-2023'!$J$1</c:f>
              <c:strCache>
                <c:ptCount val="1"/>
                <c:pt idx="0">
                  <c:v> 7-Cty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5"/>
              <c:layout>
                <c:manualLayout>
                  <c:x val="0"/>
                  <c:y val="-2.47239421481810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799-461D-B204-4B39D3A4C9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'1999-2023'!$A$2:$A$27</c:f>
              <c:numCache>
                <c:formatCode>General</c:formatCode>
                <c:ptCount val="2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  <c:pt idx="25">
                  <c:v>2024</c:v>
                </c:pt>
              </c:numCache>
            </c:numRef>
          </c:cat>
          <c:val>
            <c:numRef>
              <c:f>'1999-2023'!$J$2:$J$27</c:f>
              <c:numCache>
                <c:formatCode>_(* #,##0_);_(* \(#,##0\);_(* "-"??_);_(@_)</c:formatCode>
                <c:ptCount val="26"/>
                <c:pt idx="0">
                  <c:v>6459</c:v>
                </c:pt>
                <c:pt idx="1">
                  <c:v>5664</c:v>
                </c:pt>
                <c:pt idx="2">
                  <c:v>5693</c:v>
                </c:pt>
                <c:pt idx="3">
                  <c:v>5819</c:v>
                </c:pt>
                <c:pt idx="4">
                  <c:v>6670</c:v>
                </c:pt>
                <c:pt idx="5">
                  <c:v>6578</c:v>
                </c:pt>
                <c:pt idx="6">
                  <c:v>5640</c:v>
                </c:pt>
                <c:pt idx="7">
                  <c:v>4376</c:v>
                </c:pt>
                <c:pt idx="8">
                  <c:v>3220</c:v>
                </c:pt>
                <c:pt idx="9">
                  <c:v>1925</c:v>
                </c:pt>
                <c:pt idx="10">
                  <c:v>1342</c:v>
                </c:pt>
                <c:pt idx="11">
                  <c:v>1370</c:v>
                </c:pt>
                <c:pt idx="12">
                  <c:v>1159</c:v>
                </c:pt>
                <c:pt idx="13">
                  <c:v>1430</c:v>
                </c:pt>
                <c:pt idx="14">
                  <c:v>1707</c:v>
                </c:pt>
                <c:pt idx="15">
                  <c:v>1694</c:v>
                </c:pt>
                <c:pt idx="16">
                  <c:v>1782</c:v>
                </c:pt>
                <c:pt idx="17">
                  <c:v>2045</c:v>
                </c:pt>
                <c:pt idx="18">
                  <c:v>2026</c:v>
                </c:pt>
                <c:pt idx="19">
                  <c:v>2370</c:v>
                </c:pt>
                <c:pt idx="20">
                  <c:v>2065</c:v>
                </c:pt>
                <c:pt idx="21">
                  <c:v>2111</c:v>
                </c:pt>
                <c:pt idx="22">
                  <c:v>2713</c:v>
                </c:pt>
                <c:pt idx="23">
                  <c:v>2588</c:v>
                </c:pt>
                <c:pt idx="24">
                  <c:v>2307</c:v>
                </c:pt>
                <c:pt idx="25">
                  <c:v>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99-461D-B204-4B39D3A4C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260579840"/>
        <c:axId val="1257989120"/>
      </c:barChart>
      <c:catAx>
        <c:axId val="126057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989120"/>
        <c:crosses val="autoZero"/>
        <c:auto val="1"/>
        <c:lblAlgn val="ctr"/>
        <c:lblOffset val="100"/>
        <c:noMultiLvlLbl val="0"/>
      </c:catAx>
      <c:valAx>
        <c:axId val="125798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057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Data'!$P$148:$P$159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Data'!$Q$148:$Q$159</c:f>
              <c:numCache>
                <c:formatCode>_(* #,##0_);_(* \(#,##0\);_(* "-"??_);_(@_)</c:formatCode>
                <c:ptCount val="12"/>
                <c:pt idx="0">
                  <c:v>3246</c:v>
                </c:pt>
                <c:pt idx="1">
                  <c:v>3475</c:v>
                </c:pt>
                <c:pt idx="2">
                  <c:v>3814</c:v>
                </c:pt>
                <c:pt idx="3">
                  <c:v>3814</c:v>
                </c:pt>
                <c:pt idx="4">
                  <c:v>4183</c:v>
                </c:pt>
                <c:pt idx="5">
                  <c:v>4240</c:v>
                </c:pt>
                <c:pt idx="6">
                  <c:v>4232</c:v>
                </c:pt>
                <c:pt idx="7">
                  <c:v>3763</c:v>
                </c:pt>
                <c:pt idx="8">
                  <c:v>3079</c:v>
                </c:pt>
                <c:pt idx="9">
                  <c:v>3084</c:v>
                </c:pt>
                <c:pt idx="10">
                  <c:v>3014</c:v>
                </c:pt>
                <c:pt idx="11">
                  <c:v>3374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8-4E72-AED8-7DCB1F0F230F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Data'!$P$148:$P$159</c:f>
              <c:strCache>
                <c:ptCount val="12"/>
                <c:pt idx="0">
                  <c:v>Apr</c:v>
                </c:pt>
                <c:pt idx="1">
                  <c:v>May</c:v>
                </c:pt>
                <c:pt idx="2">
                  <c:v>Jun</c:v>
                </c:pt>
                <c:pt idx="3">
                  <c:v>Jul</c:v>
                </c:pt>
                <c:pt idx="4">
                  <c:v>Aug</c:v>
                </c:pt>
                <c:pt idx="5">
                  <c:v>Sep</c:v>
                </c:pt>
                <c:pt idx="6">
                  <c:v>Oct</c:v>
                </c:pt>
                <c:pt idx="7">
                  <c:v>Nov</c:v>
                </c:pt>
                <c:pt idx="8">
                  <c:v>Dec</c:v>
                </c:pt>
                <c:pt idx="9">
                  <c:v>Jan</c:v>
                </c:pt>
                <c:pt idx="10">
                  <c:v>Feb</c:v>
                </c:pt>
                <c:pt idx="11">
                  <c:v>Mar</c:v>
                </c:pt>
              </c:strCache>
            </c:strRef>
          </c:cat>
          <c:val>
            <c:numRef>
              <c:f>'Monthly Stats Data'!$T$148:$T$159</c:f>
              <c:numCache>
                <c:formatCode>_(* #,##0_);_(* \(#,##0\);_(* "-"??_);_(@_)</c:formatCode>
                <c:ptCount val="12"/>
                <c:pt idx="0">
                  <c:v>6150</c:v>
                </c:pt>
                <c:pt idx="1">
                  <c:v>5700</c:v>
                </c:pt>
                <c:pt idx="2">
                  <c:v>5150</c:v>
                </c:pt>
                <c:pt idx="3">
                  <c:v>4900</c:v>
                </c:pt>
                <c:pt idx="4">
                  <c:v>4340</c:v>
                </c:pt>
                <c:pt idx="5">
                  <c:v>4090</c:v>
                </c:pt>
                <c:pt idx="6">
                  <c:v>3925</c:v>
                </c:pt>
                <c:pt idx="7">
                  <c:v>4425</c:v>
                </c:pt>
                <c:pt idx="8">
                  <c:v>5100</c:v>
                </c:pt>
                <c:pt idx="9">
                  <c:v>5025</c:v>
                </c:pt>
                <c:pt idx="10">
                  <c:v>5110</c:v>
                </c:pt>
                <c:pt idx="11">
                  <c:v>4800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C8-4E72-AED8-7DCB1F0F23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4 County Avg Sale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Data'!$B$177:$B$201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'1st Qtr County Data'!$D$177:$D$201</c:f>
              <c:numCache>
                <c:formatCode>_("$"* #,##0_);_("$"* \(#,##0\);_("$"* "-"??_);_(@_)</c:formatCode>
                <c:ptCount val="25"/>
                <c:pt idx="0">
                  <c:v>169447.75</c:v>
                </c:pt>
                <c:pt idx="1">
                  <c:v>179108</c:v>
                </c:pt>
                <c:pt idx="2">
                  <c:v>192758.25</c:v>
                </c:pt>
                <c:pt idx="3">
                  <c:v>208126.75</c:v>
                </c:pt>
                <c:pt idx="4">
                  <c:v>221490.25</c:v>
                </c:pt>
                <c:pt idx="5">
                  <c:v>233178.25</c:v>
                </c:pt>
                <c:pt idx="6">
                  <c:v>254012.5</c:v>
                </c:pt>
                <c:pt idx="7">
                  <c:v>245821</c:v>
                </c:pt>
                <c:pt idx="8">
                  <c:v>240043.25</c:v>
                </c:pt>
                <c:pt idx="9">
                  <c:v>220256.25</c:v>
                </c:pt>
                <c:pt idx="10">
                  <c:v>220411.75</c:v>
                </c:pt>
                <c:pt idx="11">
                  <c:v>205388.75</c:v>
                </c:pt>
                <c:pt idx="12">
                  <c:v>197020.25</c:v>
                </c:pt>
                <c:pt idx="13">
                  <c:v>207095.5</c:v>
                </c:pt>
                <c:pt idx="14">
                  <c:v>210532.75</c:v>
                </c:pt>
                <c:pt idx="15">
                  <c:v>220453.75</c:v>
                </c:pt>
                <c:pt idx="16">
                  <c:v>241377.25</c:v>
                </c:pt>
                <c:pt idx="17">
                  <c:v>243381.25</c:v>
                </c:pt>
                <c:pt idx="18">
                  <c:v>270079.25</c:v>
                </c:pt>
                <c:pt idx="19">
                  <c:v>271159</c:v>
                </c:pt>
                <c:pt idx="20">
                  <c:v>300617.5</c:v>
                </c:pt>
                <c:pt idx="21">
                  <c:v>334638.25</c:v>
                </c:pt>
                <c:pt idx="22">
                  <c:v>366483</c:v>
                </c:pt>
                <c:pt idx="23">
                  <c:v>383797.25</c:v>
                </c:pt>
                <c:pt idx="24">
                  <c:v>417785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BF-4F7D-9987-2CA61313E3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79392"/>
        <c:axId val="1962179808"/>
      </c:barChart>
      <c:catAx>
        <c:axId val="196217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808"/>
        <c:crosses val="autoZero"/>
        <c:auto val="1"/>
        <c:lblAlgn val="ctr"/>
        <c:lblOffset val="100"/>
        <c:noMultiLvlLbl val="0"/>
      </c:catAx>
      <c:valAx>
        <c:axId val="1962179808"/>
        <c:scaling>
          <c:orientation val="minMax"/>
          <c:max val="45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9392"/>
        <c:crosses val="autoZero"/>
        <c:crossBetween val="between"/>
        <c:minorUnit val="5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Unit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B9-464D-9B3B-44C37B9475EE}"/>
                </c:ext>
              </c:extLst>
            </c:dLbl>
            <c:dLbl>
              <c:idx val="12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B9-464D-9B3B-44C37B9475EE}"/>
                </c:ext>
              </c:extLst>
            </c:dLbl>
            <c:dLbl>
              <c:idx val="22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B9-464D-9B3B-44C37B9475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Data'!$B$177:$B$201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'1st Qtr County Data'!$C$177:$C$201</c:f>
              <c:numCache>
                <c:formatCode>_(* #,##0_);_(* \(#,##0\);_(* "-"??_);_(@_)</c:formatCode>
                <c:ptCount val="25"/>
                <c:pt idx="0">
                  <c:v>2716</c:v>
                </c:pt>
                <c:pt idx="1">
                  <c:v>3107</c:v>
                </c:pt>
                <c:pt idx="2">
                  <c:v>3371</c:v>
                </c:pt>
                <c:pt idx="3">
                  <c:v>3633</c:v>
                </c:pt>
                <c:pt idx="4">
                  <c:v>3506</c:v>
                </c:pt>
                <c:pt idx="5">
                  <c:v>3727</c:v>
                </c:pt>
                <c:pt idx="6">
                  <c:v>3830</c:v>
                </c:pt>
                <c:pt idx="7">
                  <c:v>3596</c:v>
                </c:pt>
                <c:pt idx="8">
                  <c:v>2673</c:v>
                </c:pt>
                <c:pt idx="9">
                  <c:v>2322</c:v>
                </c:pt>
                <c:pt idx="10">
                  <c:v>2495</c:v>
                </c:pt>
                <c:pt idx="11">
                  <c:v>2377</c:v>
                </c:pt>
                <c:pt idx="12">
                  <c:v>2907</c:v>
                </c:pt>
                <c:pt idx="13">
                  <c:v>3318</c:v>
                </c:pt>
                <c:pt idx="14">
                  <c:v>2996</c:v>
                </c:pt>
                <c:pt idx="15">
                  <c:v>3272</c:v>
                </c:pt>
                <c:pt idx="16">
                  <c:v>3375</c:v>
                </c:pt>
                <c:pt idx="17">
                  <c:v>3498</c:v>
                </c:pt>
                <c:pt idx="18">
                  <c:v>3787</c:v>
                </c:pt>
                <c:pt idx="19">
                  <c:v>3498</c:v>
                </c:pt>
                <c:pt idx="20">
                  <c:v>3825</c:v>
                </c:pt>
                <c:pt idx="21">
                  <c:v>3933</c:v>
                </c:pt>
                <c:pt idx="22">
                  <c:v>4013</c:v>
                </c:pt>
                <c:pt idx="23">
                  <c:v>2879</c:v>
                </c:pt>
                <c:pt idx="24">
                  <c:v>3057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7B9-464D-9B3B-44C37B9475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4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3.0257386603218153E-2"/>
                  <c:y val="0.110262153703457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B8-45F6-B015-1B2ECDEC8A44}"/>
                </c:ext>
              </c:extLst>
            </c:dLbl>
            <c:dLbl>
              <c:idx val="10"/>
              <c:layout>
                <c:manualLayout>
                  <c:x val="-1.8834364454443194E-2"/>
                  <c:y val="7.90277777777776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B8-45F6-B015-1B2ECDEC8A44}"/>
                </c:ext>
              </c:extLst>
            </c:dLbl>
            <c:dLbl>
              <c:idx val="20"/>
              <c:layout>
                <c:manualLayout>
                  <c:x val="-3.0739126359205244E-2"/>
                  <c:y val="9.2916666666666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B8-45F6-B015-1B2ECDEC8A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Data'!$B$179:$B$201</c:f>
              <c:numCache>
                <c:formatCode>General</c:formatCod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numCache>
              <c:extLst/>
            </c:numRef>
          </c:cat>
          <c:val>
            <c:numRef>
              <c:f>'1st Qtr County Data'!$F$181:$F$201</c:f>
              <c:numCache>
                <c:formatCode>_(* #,##0_);_(* \(#,##0\);_(* "-"??_);_(@_)</c:formatCode>
                <c:ptCount val="21"/>
                <c:pt idx="0">
                  <c:v>6312</c:v>
                </c:pt>
                <c:pt idx="1">
                  <c:v>7371</c:v>
                </c:pt>
                <c:pt idx="2">
                  <c:v>9529</c:v>
                </c:pt>
                <c:pt idx="3">
                  <c:v>10246</c:v>
                </c:pt>
                <c:pt idx="4">
                  <c:v>8734</c:v>
                </c:pt>
                <c:pt idx="5">
                  <c:v>8061</c:v>
                </c:pt>
                <c:pt idx="6">
                  <c:v>9213</c:v>
                </c:pt>
                <c:pt idx="7">
                  <c:v>7135</c:v>
                </c:pt>
                <c:pt idx="8">
                  <c:v>7471</c:v>
                </c:pt>
                <c:pt idx="9">
                  <c:v>6350</c:v>
                </c:pt>
                <c:pt idx="10">
                  <c:v>6520</c:v>
                </c:pt>
                <c:pt idx="11">
                  <c:v>6963</c:v>
                </c:pt>
                <c:pt idx="12">
                  <c:v>6535</c:v>
                </c:pt>
                <c:pt idx="13">
                  <c:v>6559</c:v>
                </c:pt>
                <c:pt idx="14">
                  <c:v>6004</c:v>
                </c:pt>
                <c:pt idx="15">
                  <c:v>5522</c:v>
                </c:pt>
                <c:pt idx="16">
                  <c:v>5795</c:v>
                </c:pt>
                <c:pt idx="17">
                  <c:v>5193</c:v>
                </c:pt>
                <c:pt idx="18">
                  <c:v>5167</c:v>
                </c:pt>
                <c:pt idx="19">
                  <c:v>3927</c:v>
                </c:pt>
                <c:pt idx="20">
                  <c:v>4314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6EB8-45F6-B015-1B2ECDEC8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796112"/>
        <c:axId val="1967105936"/>
      </c:lineChart>
      <c:catAx>
        <c:axId val="197279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7105936"/>
        <c:crosses val="autoZero"/>
        <c:auto val="1"/>
        <c:lblAlgn val="ctr"/>
        <c:lblOffset val="100"/>
        <c:noMultiLvlLbl val="0"/>
      </c:catAx>
      <c:valAx>
        <c:axId val="1967105936"/>
        <c:scaling>
          <c:orientation val="minMax"/>
          <c:min val="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</a:t>
            </a: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>
                <a:solidFill>
                  <a:sysClr val="windowText" lastClr="000000"/>
                </a:solidFill>
              </a:rPr>
              <a:t>7 County</a:t>
            </a:r>
            <a:r>
              <a:rPr lang="en-US" baseline="0">
                <a:solidFill>
                  <a:sysClr val="windowText" lastClr="000000"/>
                </a:solidFill>
              </a:rPr>
              <a:t> Avg Sale Price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Data'!$B$299:$B$323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'1st Qtr County Data'!$D$299:$D$323</c:f>
              <c:numCache>
                <c:formatCode>_("$"* #,##0_);_("$"* \(#,##0\);_("$"* "-"??_);_(@_)</c:formatCode>
                <c:ptCount val="25"/>
                <c:pt idx="0">
                  <c:v>155170.28571428571</c:v>
                </c:pt>
                <c:pt idx="1">
                  <c:v>162517.71428571429</c:v>
                </c:pt>
                <c:pt idx="2">
                  <c:v>172249.71428571429</c:v>
                </c:pt>
                <c:pt idx="3">
                  <c:v>188089.71428571429</c:v>
                </c:pt>
                <c:pt idx="4">
                  <c:v>200225.71428571429</c:v>
                </c:pt>
                <c:pt idx="5">
                  <c:v>219169.57142857142</c:v>
                </c:pt>
                <c:pt idx="6">
                  <c:v>233539.71428571429</c:v>
                </c:pt>
                <c:pt idx="7">
                  <c:v>234413.85714285713</c:v>
                </c:pt>
                <c:pt idx="8">
                  <c:v>225345.71428571429</c:v>
                </c:pt>
                <c:pt idx="9">
                  <c:v>200714</c:v>
                </c:pt>
                <c:pt idx="10">
                  <c:v>196896.14285714287</c:v>
                </c:pt>
                <c:pt idx="11" formatCode="_(* #,##0_);_(* \(#,##0\);_(* &quot;-&quot;??_);_(@_)">
                  <c:v>181497</c:v>
                </c:pt>
                <c:pt idx="12">
                  <c:v>176649.71428571429</c:v>
                </c:pt>
                <c:pt idx="13">
                  <c:v>184704.28571428571</c:v>
                </c:pt>
                <c:pt idx="14">
                  <c:v>176077.42857142858</c:v>
                </c:pt>
                <c:pt idx="15">
                  <c:v>206008.28571428571</c:v>
                </c:pt>
                <c:pt idx="16">
                  <c:v>214226.28571428571</c:v>
                </c:pt>
                <c:pt idx="17">
                  <c:v>231040</c:v>
                </c:pt>
                <c:pt idx="18">
                  <c:v>257044.85714285713</c:v>
                </c:pt>
                <c:pt idx="19">
                  <c:v>248755.28571428571</c:v>
                </c:pt>
                <c:pt idx="20">
                  <c:v>280496.85714285716</c:v>
                </c:pt>
                <c:pt idx="21">
                  <c:v>318194.71428571426</c:v>
                </c:pt>
                <c:pt idx="22">
                  <c:v>352443.14285714284</c:v>
                </c:pt>
                <c:pt idx="23">
                  <c:v>357827.42857142858</c:v>
                </c:pt>
                <c:pt idx="24">
                  <c:v>399502.14285714284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2F-4B61-8DE8-0536BD8476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962183136"/>
        <c:axId val="1962174400"/>
      </c:barChart>
      <c:catAx>
        <c:axId val="19621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74400"/>
        <c:crosses val="autoZero"/>
        <c:auto val="1"/>
        <c:lblAlgn val="ctr"/>
        <c:lblOffset val="100"/>
        <c:noMultiLvlLbl val="0"/>
      </c:catAx>
      <c:valAx>
        <c:axId val="1962174400"/>
        <c:scaling>
          <c:orientation val="minMax"/>
          <c:max val="41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2183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Total Sales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7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4D-4669-9E3B-CCFE61AE67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Data'!$B$299:$B$323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'1st Qtr County Data'!$C$299:$C$323</c:f>
              <c:numCache>
                <c:formatCode>_(* #,##0_);_(* \(#,##0\);_(* "-"??_);_(@_)</c:formatCode>
                <c:ptCount val="25"/>
                <c:pt idx="0">
                  <c:v>3715</c:v>
                </c:pt>
                <c:pt idx="1">
                  <c:v>4188</c:v>
                </c:pt>
                <c:pt idx="2">
                  <c:v>4611</c:v>
                </c:pt>
                <c:pt idx="3">
                  <c:v>4792</c:v>
                </c:pt>
                <c:pt idx="4">
                  <c:v>4843</c:v>
                </c:pt>
                <c:pt idx="5">
                  <c:v>5016</c:v>
                </c:pt>
                <c:pt idx="6">
                  <c:v>5122</c:v>
                </c:pt>
                <c:pt idx="7">
                  <c:v>4740</c:v>
                </c:pt>
                <c:pt idx="8">
                  <c:v>3551</c:v>
                </c:pt>
                <c:pt idx="9">
                  <c:v>2944</c:v>
                </c:pt>
                <c:pt idx="10">
                  <c:v>3339</c:v>
                </c:pt>
                <c:pt idx="11">
                  <c:v>3184</c:v>
                </c:pt>
                <c:pt idx="12">
                  <c:v>3878</c:v>
                </c:pt>
                <c:pt idx="13">
                  <c:v>4449</c:v>
                </c:pt>
                <c:pt idx="14">
                  <c:v>4021</c:v>
                </c:pt>
                <c:pt idx="15">
                  <c:v>4374</c:v>
                </c:pt>
                <c:pt idx="16">
                  <c:v>4611</c:v>
                </c:pt>
                <c:pt idx="17">
                  <c:v>4625</c:v>
                </c:pt>
                <c:pt idx="18">
                  <c:v>5047</c:v>
                </c:pt>
                <c:pt idx="19">
                  <c:v>4710</c:v>
                </c:pt>
                <c:pt idx="20">
                  <c:v>5083</c:v>
                </c:pt>
                <c:pt idx="21">
                  <c:v>5343</c:v>
                </c:pt>
                <c:pt idx="22">
                  <c:v>5390</c:v>
                </c:pt>
                <c:pt idx="23">
                  <c:v>3882</c:v>
                </c:pt>
                <c:pt idx="24">
                  <c:v>4074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4D-4669-9E3B-CCFE61AE6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Q1 7 County Listings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985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layout>
                <c:manualLayout>
                  <c:x val="-2.7508986737150416E-2"/>
                  <c:y val="0.122317936483431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2C-4E30-AA21-19E655B145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'1st Qtr County Data'!$B$301:$B$323</c:f>
              <c:numCache>
                <c:formatCode>General</c:formatCode>
                <c:ptCount val="23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  <c:pt idx="20">
                  <c:v>2022</c:v>
                </c:pt>
                <c:pt idx="21">
                  <c:v>2023</c:v>
                </c:pt>
                <c:pt idx="22">
                  <c:v>2024</c:v>
                </c:pt>
              </c:numCache>
              <c:extLst/>
            </c:numRef>
          </c:cat>
          <c:val>
            <c:numRef>
              <c:f>'1st Qtr County Data'!$F$301:$F$323</c:f>
              <c:numCache>
                <c:formatCode>_(* #,##0_);_(* \(#,##0\);_(* "-"??_);_(@_)</c:formatCode>
                <c:ptCount val="23"/>
                <c:pt idx="0">
                  <c:v>4648</c:v>
                </c:pt>
                <c:pt idx="1">
                  <c:v>8253</c:v>
                </c:pt>
                <c:pt idx="2">
                  <c:v>8732</c:v>
                </c:pt>
                <c:pt idx="3">
                  <c:v>9961</c:v>
                </c:pt>
                <c:pt idx="4">
                  <c:v>12894</c:v>
                </c:pt>
                <c:pt idx="5">
                  <c:v>13978</c:v>
                </c:pt>
                <c:pt idx="6">
                  <c:v>12029</c:v>
                </c:pt>
                <c:pt idx="7">
                  <c:v>11008</c:v>
                </c:pt>
                <c:pt idx="8">
                  <c:v>12631</c:v>
                </c:pt>
                <c:pt idx="9">
                  <c:v>9715</c:v>
                </c:pt>
                <c:pt idx="10">
                  <c:v>10067</c:v>
                </c:pt>
                <c:pt idx="11">
                  <c:v>7215</c:v>
                </c:pt>
                <c:pt idx="12">
                  <c:v>8007</c:v>
                </c:pt>
                <c:pt idx="13">
                  <c:v>8601</c:v>
                </c:pt>
                <c:pt idx="14">
                  <c:v>8701</c:v>
                </c:pt>
                <c:pt idx="15">
                  <c:v>8745</c:v>
                </c:pt>
                <c:pt idx="16">
                  <c:v>7942</c:v>
                </c:pt>
                <c:pt idx="17">
                  <c:v>7381</c:v>
                </c:pt>
                <c:pt idx="18">
                  <c:v>7782</c:v>
                </c:pt>
                <c:pt idx="19">
                  <c:v>6786</c:v>
                </c:pt>
                <c:pt idx="20">
                  <c:v>6736</c:v>
                </c:pt>
                <c:pt idx="21">
                  <c:v>5231</c:v>
                </c:pt>
                <c:pt idx="22">
                  <c:v>5705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A42C-4E30-AA21-19E655B145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2346336"/>
        <c:axId val="1972343008"/>
      </c:lineChart>
      <c:catAx>
        <c:axId val="19723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3008"/>
        <c:crosses val="autoZero"/>
        <c:auto val="1"/>
        <c:lblAlgn val="ctr"/>
        <c:lblOffset val="100"/>
        <c:noMultiLvlLbl val="0"/>
      </c:catAx>
      <c:valAx>
        <c:axId val="1972343008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234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/>
                </a:solidFill>
              </a:rPr>
              <a:t>Total Annual 4-Cty Single Family New Const. Permits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000" b="0" i="0" u="none" strike="noStrike" kern="1200" spc="0" baseline="0">
                <a:solidFill>
                  <a:sysClr val="windowText" lastClr="000000"/>
                </a:solidFill>
              </a:rPr>
              <a:t>(2024 Through February)</a:t>
            </a:r>
            <a:r>
              <a:rPr lang="en-US" sz="1400" b="0" i="0" u="none" strike="noStrike" kern="1200" spc="0" baseline="0">
                <a:solidFill>
                  <a:sysClr val="windowText" lastClr="000000"/>
                </a:solidFill>
              </a:rPr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'1999-2023'!$F$1</c:f>
              <c:strCache>
                <c:ptCount val="1"/>
                <c:pt idx="0">
                  <c:v> 4-Cty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5"/>
              <c:layout>
                <c:manualLayout>
                  <c:x val="0"/>
                  <c:y val="-3.29658792650920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4DA-4AB6-946B-755AFB79B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'1999-2023'!$A$2:$A$27</c:f>
              <c:numCache>
                <c:formatCode>General</c:formatCode>
                <c:ptCount val="2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  <c:pt idx="25">
                  <c:v>2024</c:v>
                </c:pt>
              </c:numCache>
            </c:numRef>
          </c:cat>
          <c:val>
            <c:numRef>
              <c:f>'1999-2023'!$F$2:$F$27</c:f>
              <c:numCache>
                <c:formatCode>_(* #,##0_);_(* \(#,##0\);_(* "-"??_);_(@_)</c:formatCode>
                <c:ptCount val="26"/>
                <c:pt idx="0">
                  <c:v>4422</c:v>
                </c:pt>
                <c:pt idx="1">
                  <c:v>3785</c:v>
                </c:pt>
                <c:pt idx="2">
                  <c:v>3711</c:v>
                </c:pt>
                <c:pt idx="3">
                  <c:v>3636</c:v>
                </c:pt>
                <c:pt idx="4">
                  <c:v>4111</c:v>
                </c:pt>
                <c:pt idx="5">
                  <c:v>3984</c:v>
                </c:pt>
                <c:pt idx="6">
                  <c:v>3529</c:v>
                </c:pt>
                <c:pt idx="7">
                  <c:v>2716</c:v>
                </c:pt>
                <c:pt idx="8">
                  <c:v>2058</c:v>
                </c:pt>
                <c:pt idx="9">
                  <c:v>1287</c:v>
                </c:pt>
                <c:pt idx="10">
                  <c:v>922</c:v>
                </c:pt>
                <c:pt idx="11">
                  <c:v>990</c:v>
                </c:pt>
                <c:pt idx="12">
                  <c:v>885</c:v>
                </c:pt>
                <c:pt idx="13">
                  <c:v>1063</c:v>
                </c:pt>
                <c:pt idx="14">
                  <c:v>1272</c:v>
                </c:pt>
                <c:pt idx="15">
                  <c:v>1307</c:v>
                </c:pt>
                <c:pt idx="16">
                  <c:v>1341</c:v>
                </c:pt>
                <c:pt idx="17">
                  <c:v>1599</c:v>
                </c:pt>
                <c:pt idx="18">
                  <c:v>1513</c:v>
                </c:pt>
                <c:pt idx="19">
                  <c:v>1777</c:v>
                </c:pt>
                <c:pt idx="20">
                  <c:v>1530</c:v>
                </c:pt>
                <c:pt idx="21">
                  <c:v>1596</c:v>
                </c:pt>
                <c:pt idx="22">
                  <c:v>2091</c:v>
                </c:pt>
                <c:pt idx="23">
                  <c:v>1915</c:v>
                </c:pt>
                <c:pt idx="24">
                  <c:v>1624</c:v>
                </c:pt>
                <c:pt idx="25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4DA-4AB6-946B-755AFB79B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1260579840"/>
        <c:axId val="1257989120"/>
      </c:barChart>
      <c:catAx>
        <c:axId val="126057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989120"/>
        <c:crosses val="autoZero"/>
        <c:auto val="1"/>
        <c:lblAlgn val="ctr"/>
        <c:lblOffset val="100"/>
        <c:noMultiLvlLbl val="0"/>
      </c:catAx>
      <c:valAx>
        <c:axId val="125798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057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7</cp:revision>
  <cp:lastPrinted>2024-04-11T17:12:00Z</cp:lastPrinted>
  <dcterms:created xsi:type="dcterms:W3CDTF">2024-04-11T15:34:00Z</dcterms:created>
  <dcterms:modified xsi:type="dcterms:W3CDTF">2024-04-11T17:50:00Z</dcterms:modified>
</cp:coreProperties>
</file>