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651176DC" w:rsidR="00AD4C46" w:rsidRPr="000478F6" w:rsidRDefault="00043760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October</w:t>
                            </w:r>
                            <w:r w:rsidR="00921DB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69754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651176DC" w:rsidR="00AD4C46" w:rsidRPr="000478F6" w:rsidRDefault="00043760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October</w:t>
                      </w:r>
                      <w:r w:rsidR="00921DB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69754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24DE3ED6" w14:textId="2D41766D" w:rsidR="00775F51" w:rsidRDefault="00775F51" w:rsidP="00AD4C46">
      <w:pPr>
        <w:pStyle w:val="Heading1"/>
      </w:pPr>
      <w:r>
        <w:t xml:space="preserve">Home Sales </w:t>
      </w:r>
      <w:r w:rsidR="00430E07">
        <w:t xml:space="preserve">Through </w:t>
      </w:r>
      <w:r w:rsidR="00043760">
        <w:t>3</w:t>
      </w:r>
      <w:r w:rsidR="00043760" w:rsidRPr="00043760">
        <w:rPr>
          <w:vertAlign w:val="superscript"/>
        </w:rPr>
        <w:t>rd</w:t>
      </w:r>
      <w:r w:rsidR="00043760">
        <w:t xml:space="preserve"> </w:t>
      </w:r>
      <w:r w:rsidR="00FC4D4B">
        <w:t>Qtr</w:t>
      </w:r>
      <w:r w:rsidR="00430E07">
        <w:t xml:space="preserve"> </w:t>
      </w:r>
      <w:r w:rsidR="00254EA2">
        <w:t xml:space="preserve">Up </w:t>
      </w:r>
      <w:r w:rsidR="00043760">
        <w:t>2</w:t>
      </w:r>
      <w:r w:rsidR="00365D98">
        <w:t>.</w:t>
      </w:r>
      <w:r w:rsidR="00043760">
        <w:t>9</w:t>
      </w:r>
      <w:r>
        <w:t>%</w:t>
      </w:r>
    </w:p>
    <w:p w14:paraId="4EFD022F" w14:textId="246F28D7" w:rsidR="00127EF0" w:rsidRPr="00AD4C46" w:rsidRDefault="00043760" w:rsidP="00AD4C46">
      <w:pPr>
        <w:pStyle w:val="Heading1"/>
      </w:pPr>
      <w:r>
        <w:t>September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365D98">
        <w:t xml:space="preserve">Down </w:t>
      </w:r>
      <w:r w:rsidR="005B5396">
        <w:t>3</w:t>
      </w:r>
      <w:r w:rsidR="00C24714">
        <w:t>.</w:t>
      </w:r>
      <w:r w:rsidR="005B5396">
        <w:t>1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80"/>
        <w:gridCol w:w="1465"/>
      </w:tblGrid>
      <w:tr w:rsidR="00E913B2" w:rsidRPr="002F2B80" w14:paraId="24B40EB5" w14:textId="77777777" w:rsidTr="00E8190F">
        <w:trPr>
          <w:trHeight w:val="360"/>
        </w:trPr>
        <w:tc>
          <w:tcPr>
            <w:tcW w:w="8280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465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shd w:val="clear" w:color="auto" w:fill="auto"/>
            <w:vAlign w:val="center"/>
          </w:tcPr>
          <w:p w14:paraId="2AA4FD63" w14:textId="67D165E0" w:rsidR="00E302C4" w:rsidRPr="002F2B80" w:rsidRDefault="00C547F1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Sales </w:t>
            </w:r>
            <w:r w:rsidR="00254F9F">
              <w:rPr>
                <w:sz w:val="24"/>
                <w:szCs w:val="24"/>
              </w:rPr>
              <w:t>Through 3</w:t>
            </w:r>
            <w:r w:rsidR="00254F9F" w:rsidRPr="00254F9F">
              <w:rPr>
                <w:sz w:val="24"/>
                <w:szCs w:val="24"/>
                <w:vertAlign w:val="superscript"/>
              </w:rPr>
              <w:t>rd</w:t>
            </w:r>
            <w:r w:rsidR="00254F9F">
              <w:rPr>
                <w:sz w:val="24"/>
                <w:szCs w:val="24"/>
              </w:rPr>
              <w:t xml:space="preserve"> Qtr Up</w:t>
            </w:r>
            <w:r w:rsidR="00E8190F">
              <w:rPr>
                <w:sz w:val="24"/>
                <w:szCs w:val="24"/>
              </w:rPr>
              <w:t>,</w:t>
            </w:r>
            <w:r w:rsidR="00254F9F">
              <w:rPr>
                <w:sz w:val="24"/>
                <w:szCs w:val="24"/>
              </w:rPr>
              <w:t xml:space="preserve"> But Still Anemic</w:t>
            </w:r>
          </w:p>
        </w:tc>
      </w:tr>
      <w:tr w:rsidR="00E302C4" w:rsidRPr="002F2B80" w14:paraId="786D284B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shd w:val="clear" w:color="auto" w:fill="auto"/>
            <w:vAlign w:val="center"/>
          </w:tcPr>
          <w:p w14:paraId="1B827FCA" w14:textId="2857D16C" w:rsidR="00E302C4" w:rsidRPr="007B1281" w:rsidRDefault="00E8190F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 Needs Thousands of New Units Despite Increased Listings</w:t>
            </w:r>
          </w:p>
        </w:tc>
      </w:tr>
      <w:tr w:rsidR="00E302C4" w:rsidRPr="002F2B80" w14:paraId="07DD8276" w14:textId="77777777" w:rsidTr="00E8190F">
        <w:trPr>
          <w:gridAfter w:val="1"/>
          <w:wAfter w:w="1465" w:type="dxa"/>
          <w:trHeight w:val="360"/>
        </w:trPr>
        <w:tc>
          <w:tcPr>
            <w:tcW w:w="8280" w:type="dxa"/>
            <w:shd w:val="clear" w:color="auto" w:fill="auto"/>
            <w:vAlign w:val="center"/>
          </w:tcPr>
          <w:p w14:paraId="0EAFC321" w14:textId="0C8F8409" w:rsidR="00E302C4" w:rsidRPr="002F2B80" w:rsidRDefault="00254EA2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8C345B">
              <w:rPr>
                <w:sz w:val="24"/>
                <w:szCs w:val="24"/>
              </w:rPr>
              <w:t xml:space="preserve">Prices Up </w:t>
            </w:r>
            <w:r w:rsidR="008C345B" w:rsidRPr="008C345B">
              <w:rPr>
                <w:sz w:val="24"/>
                <w:szCs w:val="24"/>
              </w:rPr>
              <w:t>6</w:t>
            </w:r>
            <w:r w:rsidRPr="008C345B">
              <w:rPr>
                <w:sz w:val="24"/>
                <w:szCs w:val="24"/>
              </w:rPr>
              <w:t>.</w:t>
            </w:r>
            <w:r w:rsidR="008C345B" w:rsidRPr="008C345B">
              <w:rPr>
                <w:sz w:val="24"/>
                <w:szCs w:val="24"/>
              </w:rPr>
              <w:t>3</w:t>
            </w:r>
            <w:r w:rsidRPr="008C345B">
              <w:rPr>
                <w:sz w:val="24"/>
                <w:szCs w:val="24"/>
              </w:rPr>
              <w:t>%</w:t>
            </w:r>
            <w:r w:rsidR="00F402BD" w:rsidRPr="008C345B">
              <w:rPr>
                <w:sz w:val="24"/>
                <w:szCs w:val="24"/>
              </w:rPr>
              <w:t>, Averaging $44</w:t>
            </w:r>
            <w:r w:rsidR="008C345B" w:rsidRPr="008C345B">
              <w:rPr>
                <w:sz w:val="24"/>
                <w:szCs w:val="24"/>
              </w:rPr>
              <w:t>5</w:t>
            </w:r>
            <w:r w:rsidR="00F402BD" w:rsidRPr="008C345B">
              <w:rPr>
                <w:sz w:val="24"/>
                <w:szCs w:val="24"/>
              </w:rPr>
              <w:t>,1</w:t>
            </w:r>
            <w:r w:rsidR="008C345B" w:rsidRPr="008C345B">
              <w:rPr>
                <w:sz w:val="24"/>
                <w:szCs w:val="24"/>
              </w:rPr>
              <w:t>13</w:t>
            </w:r>
            <w:r w:rsidR="00F402BD">
              <w:rPr>
                <w:sz w:val="24"/>
                <w:szCs w:val="24"/>
              </w:rPr>
              <w:t xml:space="preserve">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F402BD">
      <w:pPr>
        <w:spacing w:before="120" w:after="120"/>
        <w:ind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30"/>
        <w:gridCol w:w="985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7E4C27FA" w:rsidR="00B170CC" w:rsidRPr="00627017" w:rsidRDefault="00043760" w:rsidP="00B65888">
            <w:pPr>
              <w:spacing w:line="252" w:lineRule="auto"/>
              <w:ind w:left="-105" w:right="-1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B539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  <w:r w:rsidR="005B539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sz w:val="24"/>
                <w:szCs w:val="24"/>
              </w:rPr>
              <w:t>Quarter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  <w:r w:rsidR="00D204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 w:rsidR="00D20441">
              <w:rPr>
                <w:rFonts w:ascii="Arial" w:eastAsia="Calibri" w:hAnsi="Arial" w:cs="Arial"/>
                <w:bCs/>
                <w:sz w:val="18"/>
                <w:szCs w:val="18"/>
              </w:rPr>
              <w:t xml:space="preserve">Sept 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 w:rsidR="00D20441">
              <w:rPr>
                <w:rFonts w:ascii="Arial" w:eastAsia="Calibri" w:hAnsi="Arial" w:cs="Arial"/>
                <w:bCs/>
                <w:sz w:val="18"/>
                <w:szCs w:val="18"/>
              </w:rPr>
              <w:t>0</w:t>
            </w:r>
            <w:r w:rsidR="00D20441"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B170CC" w:rsidRPr="00627017" w14:paraId="5B14E64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4D49C566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41BEEAA4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5B5396" w:rsidRPr="00627017" w14:paraId="20306320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4C7B6369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 xml:space="preserve"> 7,072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3320A2F0" w:rsidR="005B5396" w:rsidRPr="00627017" w:rsidRDefault="005B5396" w:rsidP="005B539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 xml:space="preserve"> 7,308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5356F0BE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>3.3%</w:t>
            </w:r>
          </w:p>
        </w:tc>
      </w:tr>
      <w:tr w:rsidR="005B5396" w:rsidRPr="00627017" w14:paraId="476C4D87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4B02BC1E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 xml:space="preserve"> 3,435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344EF79D" w:rsidR="005B5396" w:rsidRPr="00627017" w:rsidRDefault="005B5396" w:rsidP="005B539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 xml:space="preserve"> 3,471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03E95E98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>1.0%</w:t>
            </w:r>
          </w:p>
        </w:tc>
      </w:tr>
      <w:tr w:rsidR="005B5396" w:rsidRPr="00627017" w14:paraId="7C64D00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3C20634F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 xml:space="preserve"> 1,081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1614E975" w:rsidR="005B5396" w:rsidRPr="00627017" w:rsidRDefault="005B5396" w:rsidP="005B539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 xml:space="preserve"> 1,176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11F2113E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>8.8%</w:t>
            </w:r>
          </w:p>
        </w:tc>
      </w:tr>
      <w:tr w:rsidR="005B5396" w:rsidRPr="00627017" w14:paraId="73B88858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349676F0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 xml:space="preserve"> 857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21D46AF4" w:rsidR="005B5396" w:rsidRPr="00627017" w:rsidRDefault="005B5396" w:rsidP="005B5396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 xml:space="preserve"> 854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4631C663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>-0.4%</w:t>
            </w:r>
          </w:p>
        </w:tc>
      </w:tr>
      <w:tr w:rsidR="005B5396" w:rsidRPr="00627017" w14:paraId="29367927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465E4504" w:rsidR="005B5396" w:rsidRPr="00627017" w:rsidRDefault="005B5396" w:rsidP="005B5396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812DE6">
              <w:t xml:space="preserve">12,445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298A8CFC" w:rsidR="005B5396" w:rsidRPr="00627017" w:rsidRDefault="005B5396" w:rsidP="005B5396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812DE6">
              <w:t xml:space="preserve">12,809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1CE04379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DE6">
              <w:t>2.9%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5396" w:rsidRPr="00627017" w14:paraId="4DB026E3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749A9386" w:rsidR="005B5396" w:rsidRPr="00627017" w:rsidRDefault="005B5396" w:rsidP="005B539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 xml:space="preserve"> 1,740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3526E045" w:rsidR="005B5396" w:rsidRPr="00627017" w:rsidRDefault="005B5396" w:rsidP="005B539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 xml:space="preserve"> 1,732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718B127F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>-0.5%</w:t>
            </w:r>
          </w:p>
        </w:tc>
      </w:tr>
      <w:tr w:rsidR="005B5396" w:rsidRPr="00627017" w14:paraId="509D9972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7400EC76" w:rsidR="005B5396" w:rsidRPr="00627017" w:rsidRDefault="005B5396" w:rsidP="005B539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 xml:space="preserve"> 1,293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577E01CE" w:rsidR="005B5396" w:rsidRPr="00627017" w:rsidRDefault="005B5396" w:rsidP="005B539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 xml:space="preserve"> 1,282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7203DCFD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>-0.9%</w:t>
            </w:r>
          </w:p>
        </w:tc>
      </w:tr>
      <w:tr w:rsidR="005B5396" w:rsidRPr="00627017" w14:paraId="42ECBD06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09C3761F" w:rsidR="005B5396" w:rsidRPr="00627017" w:rsidRDefault="005B5396" w:rsidP="005B5396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 xml:space="preserve"> 1,054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06D0DA30" w:rsidR="005B5396" w:rsidRPr="00627017" w:rsidRDefault="005B5396" w:rsidP="005B539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 xml:space="preserve"> 1,053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1773B212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>-0.1%</w:t>
            </w:r>
          </w:p>
        </w:tc>
      </w:tr>
      <w:tr w:rsidR="005B5396" w:rsidRPr="00627017" w14:paraId="122A5C4D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434F73EB" w:rsidR="005B5396" w:rsidRPr="00627017" w:rsidRDefault="005B5396" w:rsidP="005B5396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A55AF7">
              <w:t xml:space="preserve">16,532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1E978C11" w:rsidR="005B5396" w:rsidRPr="00627017" w:rsidRDefault="005B5396" w:rsidP="005B5396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 xml:space="preserve"> 16,876 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126A98EA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5AF7">
              <w:t>2.1%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71AFC27B" w:rsidR="00F264CF" w:rsidRPr="00627017" w:rsidRDefault="00043760" w:rsidP="00E749C3">
            <w:pPr>
              <w:spacing w:line="252" w:lineRule="auto"/>
              <w:ind w:left="-105" w:right="-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D05F0">
              <w:rPr>
                <w:rFonts w:ascii="Arial" w:hAnsi="Arial" w:cs="Arial"/>
                <w:b/>
                <w:bCs/>
                <w:sz w:val="24"/>
                <w:szCs w:val="24"/>
              </w:rPr>
              <w:t>Sale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513B1A" w:rsidRPr="00627017" w14:paraId="41B9A98A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215DAF4A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53A94371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63404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5B5396" w:rsidRPr="00627017" w14:paraId="1AA23907" w14:textId="77777777" w:rsidTr="00BD05F0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42BE1C1F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838</w:t>
            </w:r>
          </w:p>
        </w:tc>
        <w:tc>
          <w:tcPr>
            <w:tcW w:w="93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2D784A2A" w:rsidR="005B5396" w:rsidRPr="00627017" w:rsidRDefault="005B5396" w:rsidP="005B539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782</w:t>
            </w:r>
          </w:p>
        </w:tc>
        <w:tc>
          <w:tcPr>
            <w:tcW w:w="985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7E8353AD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-6.7%</w:t>
            </w:r>
          </w:p>
        </w:tc>
      </w:tr>
      <w:tr w:rsidR="005B5396" w:rsidRPr="00627017" w14:paraId="57BCDE1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74FAD185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376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4BDD438D" w:rsidR="005B5396" w:rsidRPr="00627017" w:rsidRDefault="005B5396" w:rsidP="005B539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393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6A3E9CF5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4.5%</w:t>
            </w:r>
          </w:p>
        </w:tc>
      </w:tr>
      <w:tr w:rsidR="005B5396" w:rsidRPr="00627017" w14:paraId="355A5DBE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61336403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478E8FB8" w:rsidR="005B5396" w:rsidRPr="00627017" w:rsidRDefault="005B5396" w:rsidP="005B539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106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168263B8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6.0%</w:t>
            </w:r>
          </w:p>
        </w:tc>
      </w:tr>
      <w:tr w:rsidR="005B5396" w:rsidRPr="00627017" w14:paraId="64E87CC5" w14:textId="77777777" w:rsidTr="00BD05F0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3E8CD05C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151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2957AB8D" w:rsidR="005B5396" w:rsidRPr="00627017" w:rsidRDefault="005B5396" w:rsidP="005B539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139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4070E687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-7.9%</w:t>
            </w:r>
          </w:p>
        </w:tc>
      </w:tr>
      <w:tr w:rsidR="005B5396" w:rsidRPr="00627017" w14:paraId="45CEE296" w14:textId="77777777" w:rsidTr="00BD05F0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69D75E34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1,465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440579FA" w:rsidR="005B5396" w:rsidRPr="00627017" w:rsidRDefault="005B5396" w:rsidP="005B539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1,420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2EB76D04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810A5">
              <w:t>-3.1%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B5396" w:rsidRPr="00627017" w14:paraId="68627583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12207CCC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210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22A7E7D6" w:rsidR="005B5396" w:rsidRPr="00627017" w:rsidRDefault="005B5396" w:rsidP="005B539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216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275FFEB4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2.9%</w:t>
            </w:r>
          </w:p>
        </w:tc>
      </w:tr>
      <w:tr w:rsidR="005B5396" w:rsidRPr="00627017" w14:paraId="43BFC7D0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28ECAA56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147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7538AC67" w:rsidR="005B5396" w:rsidRPr="00627017" w:rsidRDefault="005B5396" w:rsidP="005B539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129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619642B2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-12.2%</w:t>
            </w:r>
          </w:p>
        </w:tc>
      </w:tr>
      <w:tr w:rsidR="005B5396" w:rsidRPr="00627017" w14:paraId="74C7B9C3" w14:textId="77777777" w:rsidTr="00F1305F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25E7DA70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142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6C3B5B43" w:rsidR="005B5396" w:rsidRPr="00627017" w:rsidRDefault="005B5396" w:rsidP="005B539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125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0BEBC788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-12.0%</w:t>
            </w:r>
          </w:p>
        </w:tc>
      </w:tr>
      <w:tr w:rsidR="005B5396" w:rsidRPr="00627017" w14:paraId="719D3710" w14:textId="77777777" w:rsidTr="00F1305F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5B5396" w:rsidRPr="00627017" w:rsidRDefault="005B5396" w:rsidP="005B5396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4540DDC4" w:rsidR="005B5396" w:rsidRPr="00627017" w:rsidRDefault="005B5396" w:rsidP="005B5396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1,964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64A3E9A6" w:rsidR="005B5396" w:rsidRPr="00627017" w:rsidRDefault="005B5396" w:rsidP="005B5396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1,890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71FCCA62" w:rsidR="005B5396" w:rsidRPr="00627017" w:rsidRDefault="005B5396" w:rsidP="005B5396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06">
              <w:t>-3.8%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23DCC7D1" w14:textId="1767C5F9" w:rsidR="00D20441" w:rsidRDefault="0077154C" w:rsidP="00F84C72">
      <w:r w:rsidRPr="0077154C">
        <w:t xml:space="preserve">Home sales in the Metropolitan Milwaukee market area </w:t>
      </w:r>
      <w:r w:rsidR="001E101E">
        <w:t>through the 3</w:t>
      </w:r>
      <w:r w:rsidR="001E101E" w:rsidRPr="001E101E">
        <w:rPr>
          <w:vertAlign w:val="superscript"/>
        </w:rPr>
        <w:t>rd</w:t>
      </w:r>
      <w:r w:rsidR="001E101E">
        <w:t xml:space="preserve"> quarter </w:t>
      </w:r>
      <w:r w:rsidR="00FC4D4B">
        <w:t xml:space="preserve">were </w:t>
      </w:r>
      <w:r w:rsidR="00D20441">
        <w:t xml:space="preserve">better than the same period in 2023, but lackluster based on previous years’ activity. </w:t>
      </w:r>
    </w:p>
    <w:p w14:paraId="2828D6E5" w14:textId="77777777" w:rsidR="00D20441" w:rsidRDefault="00D20441" w:rsidP="00F84C72"/>
    <w:p w14:paraId="391FB85F" w14:textId="136A2964" w:rsidR="00FC4D4B" w:rsidRDefault="00E5727F" w:rsidP="00F84C72">
      <w:r>
        <w:t>Sales in s</w:t>
      </w:r>
      <w:r w:rsidR="00D20441">
        <w:t xml:space="preserve">ix of the </w:t>
      </w:r>
      <w:r w:rsidR="001E101E">
        <w:t xml:space="preserve">first </w:t>
      </w:r>
      <w:r w:rsidR="00D20441">
        <w:t xml:space="preserve">nine months </w:t>
      </w:r>
      <w:r w:rsidR="001E101E">
        <w:t xml:space="preserve">this year </w:t>
      </w:r>
      <w:r w:rsidR="00D20441">
        <w:t xml:space="preserve">were ahead of 2023. However, 2023 was one of the weakest sales years since the Great Recession. </w:t>
      </w:r>
    </w:p>
    <w:p w14:paraId="06847DE8" w14:textId="77777777" w:rsidR="00FC4D4B" w:rsidRDefault="00FC4D4B" w:rsidP="00F84C72"/>
    <w:p w14:paraId="2A523D44" w14:textId="5A5CBCF0" w:rsidR="001E101E" w:rsidRDefault="001E101E" w:rsidP="00F84C72">
      <w:r>
        <w:t xml:space="preserve">Mid-way through 2022, interest rates increased from historical lows, going from about 3% to 6%. That impacted sales in the second half of 2022, and well into 2023. Sales in 2024 are recovering from 2023’s trough, but they are still historically low. </w:t>
      </w:r>
    </w:p>
    <w:p w14:paraId="4DA38633" w14:textId="77777777" w:rsidR="001E101E" w:rsidRDefault="001E101E" w:rsidP="00F84C72"/>
    <w:p w14:paraId="0B1D6557" w14:textId="25465CCB" w:rsidR="001E101E" w:rsidRDefault="001E101E" w:rsidP="00F84C72">
      <w:r>
        <w:t xml:space="preserve">From 2016 to 2022 the Greater Milwaukee market had sales in excess of 20,000 units each year. </w:t>
      </w:r>
      <w:r w:rsidR="00E5727F">
        <w:t xml:space="preserve">Then, </w:t>
      </w:r>
      <w:r>
        <w:t xml:space="preserve">2023 </w:t>
      </w:r>
      <w:r w:rsidR="00E5727F">
        <w:t>fell to</w:t>
      </w:r>
      <w:r>
        <w:t xml:space="preserve"> 16,584 unit sales. 2024 looks like it </w:t>
      </w:r>
      <w:r w:rsidR="00E5727F">
        <w:t>is rebounding, and may</w:t>
      </w:r>
      <w:r>
        <w:t xml:space="preserve"> </w:t>
      </w:r>
      <w:r w:rsidR="00E5727F">
        <w:t xml:space="preserve">just get over the 17,000 unit mark. </w:t>
      </w:r>
    </w:p>
    <w:p w14:paraId="104D7416" w14:textId="77777777" w:rsidR="001E101E" w:rsidRDefault="001E101E" w:rsidP="00F84C72"/>
    <w:p w14:paraId="5B2871CC" w14:textId="77777777" w:rsidR="00E5727F" w:rsidRDefault="00E5727F" w:rsidP="00F84C72">
      <w:r>
        <w:t xml:space="preserve">Despite the impact of rising interest rates, the market over the last several years has been driven by the availability of listings to sell. </w:t>
      </w:r>
    </w:p>
    <w:p w14:paraId="2A79A345" w14:textId="77777777" w:rsidR="00E5727F" w:rsidRDefault="00E5727F" w:rsidP="00F84C72"/>
    <w:p w14:paraId="2DA816D9" w14:textId="136B195A" w:rsidR="00254F9F" w:rsidRDefault="00254F9F" w:rsidP="00F84C72">
      <w:r>
        <w:t xml:space="preserve">Listings have been hard to come by for many years mainly because would-be sellers of existing homes have stayed put, and because the market has not produced enough new units to purchase.  </w:t>
      </w:r>
    </w:p>
    <w:p w14:paraId="0F04243B" w14:textId="77777777" w:rsidR="00254F9F" w:rsidRDefault="00254F9F" w:rsidP="00F84C72"/>
    <w:p w14:paraId="26B808C4" w14:textId="0398D007" w:rsidR="0077154C" w:rsidRDefault="00D46FAC" w:rsidP="00F84C72">
      <w:r>
        <w:lastRenderedPageBreak/>
        <w:t>Listings in September and through the 3</w:t>
      </w:r>
      <w:r w:rsidRPr="00D46FAC">
        <w:rPr>
          <w:vertAlign w:val="superscript"/>
        </w:rPr>
        <w:t>rd</w:t>
      </w:r>
      <w:r>
        <w:t xml:space="preserve"> quarter were up, 3.8% and 5.4%, respectively</w:t>
      </w:r>
      <w:r w:rsidR="006626BD">
        <w:t>. However, the 16,546 units that have been listed so far in 2023 are approximately 4,000 unit</w:t>
      </w:r>
      <w:r w:rsidR="003E46BA">
        <w:t>s</w:t>
      </w:r>
      <w:r w:rsidR="006626BD">
        <w:t xml:space="preserve"> shy of what the market needs to reach equilibrium. </w:t>
      </w:r>
    </w:p>
    <w:p w14:paraId="7508B00C" w14:textId="77777777" w:rsidR="00662485" w:rsidRDefault="00662485" w:rsidP="00F84C72"/>
    <w:tbl>
      <w:tblPr>
        <w:tblpPr w:leftFromText="288" w:rightFromText="72" w:bottomFromText="115" w:vertAnchor="text" w:horzAnchor="margin" w:tblpXSpec="right" w:tblpY="-38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963"/>
        <w:gridCol w:w="922"/>
        <w:gridCol w:w="993"/>
      </w:tblGrid>
      <w:tr w:rsidR="008C345B" w:rsidRPr="00627017" w14:paraId="0B53EF5B" w14:textId="77777777" w:rsidTr="008C345B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BB65" w14:textId="77777777" w:rsidR="008C345B" w:rsidRPr="00627017" w:rsidRDefault="008C345B" w:rsidP="008C345B">
            <w:pPr>
              <w:spacing w:line="252" w:lineRule="auto"/>
              <w:ind w:left="-105" w:right="-9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5B539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Quarter </w:t>
            </w:r>
            <w:r>
              <w:rPr>
                <w:rFonts w:ascii="Arial" w:hAnsi="Arial" w:cs="Arial"/>
                <w:b/>
                <w:sz w:val="24"/>
                <w:szCs w:val="24"/>
              </w:rPr>
              <w:t>Listings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Sept 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0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8C345B" w:rsidRPr="00627017" w14:paraId="05D43625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2E122B7C" w14:textId="77777777" w:rsidR="008C345B" w:rsidRPr="00627017" w:rsidRDefault="008C345B" w:rsidP="008C345B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AFB15" w14:textId="77777777" w:rsidR="008C345B" w:rsidRPr="00627017" w:rsidRDefault="008C345B" w:rsidP="008C345B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0F99" w14:textId="77777777" w:rsidR="008C345B" w:rsidRPr="00627017" w:rsidRDefault="008C345B" w:rsidP="008C345B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AA6388C" w14:textId="77777777" w:rsidR="008C345B" w:rsidRPr="00627017" w:rsidRDefault="008C345B" w:rsidP="008C345B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8C345B" w:rsidRPr="00627017" w14:paraId="0A9BB8EF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DD068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EAA4" w14:textId="77777777" w:rsidR="008C345B" w:rsidRPr="00627017" w:rsidRDefault="008C345B" w:rsidP="008C345B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FC7CF1">
              <w:t xml:space="preserve"> 9,461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CA6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 xml:space="preserve"> 9,784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2D254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>3.4%</w:t>
            </w:r>
          </w:p>
        </w:tc>
      </w:tr>
      <w:tr w:rsidR="008C345B" w:rsidRPr="00627017" w14:paraId="71A55807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26931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3167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 xml:space="preserve"> 4,275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0386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 xml:space="preserve"> 4,543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46213FA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>6.3%</w:t>
            </w:r>
          </w:p>
        </w:tc>
      </w:tr>
      <w:tr w:rsidR="008C345B" w:rsidRPr="00627017" w14:paraId="4AD5F174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E845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9646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 xml:space="preserve"> 1,379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FB54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 xml:space="preserve"> 1,651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CC81E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>19.7%</w:t>
            </w:r>
          </w:p>
        </w:tc>
      </w:tr>
      <w:tr w:rsidR="008C345B" w:rsidRPr="00627017" w14:paraId="19FE1F11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BEB8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4892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 xml:space="preserve"> 1,059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FDED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 xml:space="preserve"> 1,062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94B54B9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>0.3%</w:t>
            </w:r>
          </w:p>
        </w:tc>
      </w:tr>
      <w:tr w:rsidR="008C345B" w:rsidRPr="00627017" w14:paraId="7F6A121A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8B32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C398" w14:textId="77777777" w:rsidR="008C345B" w:rsidRPr="00627017" w:rsidRDefault="008C345B" w:rsidP="008C345B">
            <w:pPr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FC7CF1">
              <w:t xml:space="preserve">16,174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9488" w14:textId="77777777" w:rsidR="008C345B" w:rsidRPr="00627017" w:rsidRDefault="008C345B" w:rsidP="008C345B">
            <w:pPr>
              <w:spacing w:line="252" w:lineRule="auto"/>
              <w:ind w:right="58"/>
              <w:rPr>
                <w:rFonts w:ascii="Arial" w:hAnsi="Arial" w:cs="Arial"/>
                <w:sz w:val="20"/>
                <w:szCs w:val="20"/>
              </w:rPr>
            </w:pPr>
            <w:r w:rsidRPr="00FC7CF1">
              <w:t xml:space="preserve">17,040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4F7FA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7CF1">
              <w:t>5.4%</w:t>
            </w:r>
          </w:p>
        </w:tc>
      </w:tr>
      <w:tr w:rsidR="008C345B" w:rsidRPr="00627017" w14:paraId="36720C2A" w14:textId="77777777" w:rsidTr="008C345B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58F2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345B" w:rsidRPr="00627017" w14:paraId="240060A8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6F57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2C68" w14:textId="77777777" w:rsidR="008C345B" w:rsidRPr="00627017" w:rsidRDefault="008C345B" w:rsidP="008C345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 xml:space="preserve"> 2,193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1566A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 xml:space="preserve"> 2,265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D0908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>3.3%</w:t>
            </w:r>
          </w:p>
        </w:tc>
      </w:tr>
      <w:tr w:rsidR="008C345B" w:rsidRPr="00627017" w14:paraId="43FFE936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E453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C0F15" w14:textId="77777777" w:rsidR="008C345B" w:rsidRPr="00627017" w:rsidRDefault="008C345B" w:rsidP="008C345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 xml:space="preserve"> 1,636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ECB64AF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 xml:space="preserve"> 1,692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BE24F10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>3.4%</w:t>
            </w:r>
          </w:p>
        </w:tc>
      </w:tr>
      <w:tr w:rsidR="008C345B" w:rsidRPr="00627017" w14:paraId="79AF4F65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92A2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3EC6" w14:textId="77777777" w:rsidR="008C345B" w:rsidRPr="00627017" w:rsidRDefault="008C345B" w:rsidP="008C345B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 xml:space="preserve"> 1,461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D4F750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 xml:space="preserve"> 1,591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0998C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>8.9%</w:t>
            </w:r>
          </w:p>
        </w:tc>
      </w:tr>
      <w:tr w:rsidR="008C345B" w:rsidRPr="00627017" w14:paraId="6020D7C3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D717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81DF" w14:textId="77777777" w:rsidR="008C345B" w:rsidRPr="00627017" w:rsidRDefault="008C345B" w:rsidP="008C345B">
            <w:pPr>
              <w:tabs>
                <w:tab w:val="left" w:pos="645"/>
              </w:tabs>
              <w:spacing w:line="252" w:lineRule="auto"/>
              <w:ind w:left="44" w:right="62"/>
              <w:rPr>
                <w:rFonts w:ascii="Arial" w:hAnsi="Arial" w:cs="Arial"/>
                <w:sz w:val="20"/>
                <w:szCs w:val="20"/>
              </w:rPr>
            </w:pPr>
            <w:r w:rsidRPr="00793B70">
              <w:t xml:space="preserve">21,464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E180CCC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 xml:space="preserve"> 22,588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BAFBE35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3B70">
              <w:t>5.2%</w:t>
            </w:r>
          </w:p>
        </w:tc>
      </w:tr>
      <w:tr w:rsidR="008C345B" w:rsidRPr="00627017" w14:paraId="595A40FC" w14:textId="77777777" w:rsidTr="008C345B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2BE1" w14:textId="77777777" w:rsidR="008C345B" w:rsidRPr="00627017" w:rsidRDefault="008C345B" w:rsidP="008C345B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C345B" w:rsidRPr="00627017" w14:paraId="0C2A8B23" w14:textId="77777777" w:rsidTr="008C345B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F31D" w14:textId="77777777" w:rsidR="008C345B" w:rsidRPr="00627017" w:rsidRDefault="008C345B" w:rsidP="008C345B">
            <w:pPr>
              <w:spacing w:line="252" w:lineRule="auto"/>
              <w:ind w:left="-105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 Listings</w:t>
            </w:r>
          </w:p>
        </w:tc>
      </w:tr>
      <w:tr w:rsidR="008C345B" w:rsidRPr="00627017" w14:paraId="37BCC3B5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6AE5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6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C156" w14:textId="77777777" w:rsidR="008C345B" w:rsidRPr="00627017" w:rsidRDefault="008C345B" w:rsidP="008C345B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599ADA88" w14:textId="77777777" w:rsidR="008C345B" w:rsidRPr="00627017" w:rsidRDefault="008C345B" w:rsidP="008C345B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24BE6887" w14:textId="77777777" w:rsidR="008C345B" w:rsidRPr="00627017" w:rsidRDefault="008C345B" w:rsidP="008C345B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8C345B" w:rsidRPr="00627017" w14:paraId="26CEB0AC" w14:textId="77777777" w:rsidTr="008C345B">
        <w:trPr>
          <w:trHeight w:val="288"/>
        </w:trPr>
        <w:tc>
          <w:tcPr>
            <w:tcW w:w="145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C73A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6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D90F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1194</w:t>
            </w:r>
          </w:p>
        </w:tc>
        <w:tc>
          <w:tcPr>
            <w:tcW w:w="92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8AD7E2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1156</w:t>
            </w:r>
          </w:p>
        </w:tc>
        <w:tc>
          <w:tcPr>
            <w:tcW w:w="993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888E53A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-3.2%</w:t>
            </w:r>
          </w:p>
        </w:tc>
      </w:tr>
      <w:tr w:rsidR="008C345B" w:rsidRPr="00627017" w14:paraId="1231D3D3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7EB7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1038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479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958F0BC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4184592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14.4%</w:t>
            </w:r>
          </w:p>
        </w:tc>
      </w:tr>
      <w:tr w:rsidR="008C345B" w:rsidRPr="00627017" w14:paraId="7574A463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FAB4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95F3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105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A347E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C7581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2.9%</w:t>
            </w:r>
          </w:p>
        </w:tc>
      </w:tr>
      <w:tr w:rsidR="008C345B" w:rsidRPr="00627017" w14:paraId="3ABDA7FA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5198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EFC9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167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</w:tcPr>
          <w:p w14:paraId="1A14DB5F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D308DD3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23.4%</w:t>
            </w:r>
          </w:p>
        </w:tc>
      </w:tr>
      <w:tr w:rsidR="008C345B" w:rsidRPr="00627017" w14:paraId="443A9D89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F0DF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66B1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1,945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8A594F" w14:textId="77777777" w:rsidR="008C345B" w:rsidRPr="00627017" w:rsidRDefault="008C345B" w:rsidP="008C345B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2,018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110B3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B92">
              <w:t>3.8%</w:t>
            </w:r>
          </w:p>
        </w:tc>
      </w:tr>
      <w:tr w:rsidR="008C345B" w:rsidRPr="00627017" w14:paraId="657ED581" w14:textId="77777777" w:rsidTr="008C345B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69F0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345B" w:rsidRPr="00627017" w14:paraId="52F77B96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B457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5ED4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274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289BD" w14:textId="77777777" w:rsidR="008C345B" w:rsidRPr="00627017" w:rsidRDefault="008C345B" w:rsidP="008C345B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ADD45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0.4%</w:t>
            </w:r>
          </w:p>
        </w:tc>
      </w:tr>
      <w:tr w:rsidR="008C345B" w:rsidRPr="00627017" w14:paraId="2836F174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0A12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859E9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207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AEE25C5" w14:textId="77777777" w:rsidR="008C345B" w:rsidRPr="00627017" w:rsidRDefault="008C345B" w:rsidP="008C345B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D2BE682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-3.4%</w:t>
            </w:r>
          </w:p>
        </w:tc>
      </w:tr>
      <w:tr w:rsidR="008C345B" w:rsidRPr="00627017" w14:paraId="5A2CD5DA" w14:textId="77777777" w:rsidTr="008C345B">
        <w:trPr>
          <w:trHeight w:val="288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BC04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CD3A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133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419DC" w14:textId="77777777" w:rsidR="008C345B" w:rsidRPr="00627017" w:rsidRDefault="008C345B" w:rsidP="008C345B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10D6E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29.3%</w:t>
            </w:r>
          </w:p>
        </w:tc>
      </w:tr>
      <w:tr w:rsidR="008C345B" w:rsidRPr="00627017" w14:paraId="1CB093E6" w14:textId="77777777" w:rsidTr="008C345B">
        <w:trPr>
          <w:trHeight w:val="288"/>
        </w:trPr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0270" w14:textId="77777777" w:rsidR="008C345B" w:rsidRPr="00627017" w:rsidRDefault="008C345B" w:rsidP="008C345B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27EE" w14:textId="77777777" w:rsidR="008C345B" w:rsidRPr="00627017" w:rsidRDefault="008C345B" w:rsidP="008C345B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2,559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1079380" w14:textId="77777777" w:rsidR="008C345B" w:rsidRPr="00627017" w:rsidRDefault="008C345B" w:rsidP="008C345B">
            <w:pPr>
              <w:spacing w:line="252" w:lineRule="auto"/>
              <w:ind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2,665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2AB27EA0" w14:textId="77777777" w:rsidR="008C345B" w:rsidRPr="00627017" w:rsidRDefault="008C345B" w:rsidP="008C345B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6D60">
              <w:t>4.1%</w:t>
            </w:r>
          </w:p>
        </w:tc>
      </w:tr>
    </w:tbl>
    <w:p w14:paraId="2E16D908" w14:textId="18715677" w:rsidR="008C345B" w:rsidRDefault="008C345B" w:rsidP="008C345B">
      <w:pPr>
        <w:ind w:right="-270"/>
      </w:pPr>
      <w:r>
        <w:t xml:space="preserve">The supply of inventory on hand was </w:t>
      </w:r>
      <w:r w:rsidRPr="00F84C72">
        <w:t xml:space="preserve">only enough to satisfy </w:t>
      </w:r>
      <w:r>
        <w:t>3</w:t>
      </w:r>
      <w:r>
        <w:t>.</w:t>
      </w:r>
      <w:r>
        <w:t>2</w:t>
      </w:r>
      <w:r w:rsidRPr="00F84C72">
        <w:t xml:space="preserve"> months of </w:t>
      </w:r>
      <w:r>
        <w:t xml:space="preserve">buyer </w:t>
      </w:r>
      <w:r w:rsidRPr="00F84C72">
        <w:t>demand</w:t>
      </w:r>
      <w:r>
        <w:t xml:space="preserve"> in September</w:t>
      </w:r>
      <w:r w:rsidRPr="00F84C72">
        <w:t xml:space="preserve">, and if we subtract units with an offer that level drops to </w:t>
      </w:r>
      <w:r>
        <w:t>1.</w:t>
      </w:r>
      <w:r>
        <w:t>6</w:t>
      </w:r>
      <w:r w:rsidRPr="00F84C72">
        <w:t xml:space="preserve"> month</w:t>
      </w:r>
      <w:r>
        <w:t xml:space="preserve">s, </w:t>
      </w:r>
      <w:r w:rsidRPr="0077154C">
        <w:t>significantly below the balanced market</w:t>
      </w:r>
      <w:r w:rsidRPr="008C345B">
        <w:t xml:space="preserve"> </w:t>
      </w:r>
      <w:r w:rsidRPr="0077154C">
        <w:t>assumption of 6 months</w:t>
      </w:r>
      <w:r>
        <w:t>.</w:t>
      </w:r>
    </w:p>
    <w:p w14:paraId="422985E2" w14:textId="77777777" w:rsidR="008C345B" w:rsidRDefault="008C345B" w:rsidP="008C345B"/>
    <w:p w14:paraId="3F7E52C8" w14:textId="07FAF8DA" w:rsidR="00662485" w:rsidRDefault="006626BD" w:rsidP="008C345B">
      <w:r>
        <w:t xml:space="preserve">This is occurring at a time when generational demand is at an all-time high with </w:t>
      </w:r>
      <w:r>
        <w:t>Millennial and Gen Z</w:t>
      </w:r>
      <w:r>
        <w:t xml:space="preserve"> first-time </w:t>
      </w:r>
      <w:r w:rsidR="00662485">
        <w:t xml:space="preserve">buyers and </w:t>
      </w:r>
      <w:r>
        <w:t xml:space="preserve">Baby Boomer </w:t>
      </w:r>
      <w:r w:rsidR="00662485">
        <w:t>Empty Nesters</w:t>
      </w:r>
      <w:r>
        <w:t xml:space="preserve"> in the market at the same time</w:t>
      </w:r>
      <w:r w:rsidR="00662485">
        <w:t>.</w:t>
      </w:r>
    </w:p>
    <w:p w14:paraId="78AC26E6" w14:textId="77777777" w:rsidR="0077154C" w:rsidRDefault="0077154C" w:rsidP="00F84C72"/>
    <w:p w14:paraId="5B91B605" w14:textId="21662266" w:rsidR="008C345B" w:rsidRDefault="008C345B" w:rsidP="00F84C72">
      <w:r>
        <w:t>Of course, when demand outpaces supply, prices go up. And through the 3</w:t>
      </w:r>
      <w:r w:rsidRPr="008C345B">
        <w:rPr>
          <w:vertAlign w:val="superscript"/>
        </w:rPr>
        <w:t>rd</w:t>
      </w:r>
      <w:r>
        <w:t xml:space="preserve"> quarter prices in the Milwaukee area went up an average of 6.3%; going from $418,639 to $445,113.</w:t>
      </w:r>
    </w:p>
    <w:p w14:paraId="3605A00A" w14:textId="77777777" w:rsidR="008C345B" w:rsidRDefault="008C345B" w:rsidP="00F84C72"/>
    <w:p w14:paraId="4B4257CB" w14:textId="77777777" w:rsidR="008C345B" w:rsidRDefault="008C345B" w:rsidP="00D46FAC">
      <w:r>
        <w:t>The only way to meet demand and ease price pressure is to increase n</w:t>
      </w:r>
      <w:r w:rsidR="00D46FAC" w:rsidRPr="00C434EA">
        <w:t>ew construction</w:t>
      </w:r>
      <w:r>
        <w:t>, which</w:t>
      </w:r>
      <w:r w:rsidR="00D46FAC" w:rsidRPr="00C434EA">
        <w:t xml:space="preserve"> would normally add 3,000 - 4,000 units to the market annually</w:t>
      </w:r>
      <w:r>
        <w:t xml:space="preserve">. </w:t>
      </w:r>
    </w:p>
    <w:p w14:paraId="60762BA5" w14:textId="77777777" w:rsidR="008C345B" w:rsidRDefault="008C345B" w:rsidP="00D46FAC"/>
    <w:p w14:paraId="40C4908F" w14:textId="513508D9" w:rsidR="00D46FAC" w:rsidRDefault="008C345B" w:rsidP="00D46FAC">
      <w:r>
        <w:t xml:space="preserve">Unfortunately, new construction of owner-occupied housing </w:t>
      </w:r>
      <w:r w:rsidR="00D46FAC" w:rsidRPr="00C434EA">
        <w:t xml:space="preserve">has been down by </w:t>
      </w:r>
      <w:r w:rsidR="00D46FAC">
        <w:t>about 5</w:t>
      </w:r>
      <w:r w:rsidR="00D46FAC" w:rsidRPr="00C434EA">
        <w:t xml:space="preserve">0% </w:t>
      </w:r>
      <w:r w:rsidR="00D46FAC">
        <w:t>since 2007</w:t>
      </w:r>
      <w:r w:rsidR="00D46FAC" w:rsidRPr="00C434EA">
        <w:t>.</w:t>
      </w:r>
      <w:r w:rsidR="00D46FAC">
        <w:t xml:space="preserve"> </w:t>
      </w:r>
    </w:p>
    <w:p w14:paraId="63064406" w14:textId="60C98597" w:rsidR="00D46FAC" w:rsidRDefault="00D46FAC" w:rsidP="00D46FAC">
      <w:pPr>
        <w:ind w:right="-270"/>
      </w:pPr>
      <w:r>
        <w:t xml:space="preserve"> </w:t>
      </w:r>
    </w:p>
    <w:p w14:paraId="550827F1" w14:textId="601F2F90" w:rsidR="00E65D35" w:rsidRDefault="007C3421" w:rsidP="003244DA">
      <w:pPr>
        <w:ind w:right="-180"/>
      </w:pPr>
      <w:r>
        <w:t>A</w:t>
      </w:r>
      <w:r w:rsidR="003244DA">
        <w:t xml:space="preserve">s we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4F4D5B">
        <w:t>tough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condos and single-family houses. </w:t>
      </w:r>
    </w:p>
    <w:p w14:paraId="47D8F696" w14:textId="77777777" w:rsidR="00E65D35" w:rsidRDefault="00E65D35" w:rsidP="003244DA">
      <w:pPr>
        <w:ind w:right="-180"/>
      </w:pPr>
    </w:p>
    <w:p w14:paraId="4E012A29" w14:textId="2CD01129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>
        <w:t>: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Pr="00F84C72">
        <w:t xml:space="preserve">all of the other benefits of homeownership. </w:t>
      </w:r>
    </w:p>
    <w:tbl>
      <w:tblPr>
        <w:tblpPr w:leftFromText="187" w:rightFromText="360" w:topFromText="202" w:bottomFromText="288" w:vertAnchor="text" w:horzAnchor="margin" w:tblpY="122"/>
        <w:tblW w:w="6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264"/>
        <w:gridCol w:w="1183"/>
        <w:gridCol w:w="1262"/>
        <w:gridCol w:w="992"/>
      </w:tblGrid>
      <w:tr w:rsidR="008C345B" w:rsidRPr="00DE1D23" w14:paraId="5885004C" w14:textId="77777777" w:rsidTr="008B0C8D">
        <w:trPr>
          <w:trHeight w:val="36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7EB28" w14:textId="77777777" w:rsidR="008C345B" w:rsidRPr="00430E07" w:rsidRDefault="008C345B" w:rsidP="008B0C8D">
            <w:pPr>
              <w:spacing w:line="252" w:lineRule="auto"/>
              <w:contextualSpacing w:val="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3732A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 w:type="page"/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5B5396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</w:t>
            </w:r>
            <w:r w:rsidRPr="0018117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uarter</w:t>
            </w:r>
            <w:r w:rsidRPr="00DE1D23">
              <w:rPr>
                <w:rFonts w:ascii="Arial" w:eastAsia="Calibri" w:hAnsi="Arial" w:cs="Arial"/>
                <w:b/>
                <w:sz w:val="24"/>
                <w:szCs w:val="24"/>
              </w:rPr>
              <w:t xml:space="preserve"> Sale Prices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(Jan 1 – 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 xml:space="preserve">Sept 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</w:rPr>
              <w:t>0</w:t>
            </w:r>
            <w:r w:rsidRPr="005C3BB5">
              <w:rPr>
                <w:rFonts w:ascii="Arial" w:eastAsia="Calibri" w:hAnsi="Arial" w:cs="Arial"/>
                <w:bCs/>
                <w:sz w:val="18"/>
                <w:szCs w:val="18"/>
              </w:rPr>
              <w:t>)</w:t>
            </w:r>
          </w:p>
        </w:tc>
      </w:tr>
      <w:tr w:rsidR="008C345B" w:rsidRPr="00DE1D23" w14:paraId="0DAF3846" w14:textId="77777777" w:rsidTr="008B0C8D">
        <w:trPr>
          <w:trHeight w:val="357"/>
        </w:trPr>
        <w:tc>
          <w:tcPr>
            <w:tcW w:w="1783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0169483E" w14:textId="77777777" w:rsidR="008C345B" w:rsidRPr="00DE1D23" w:rsidRDefault="008C345B" w:rsidP="008B0C8D">
            <w:pPr>
              <w:ind w:left="175" w:right="-15"/>
              <w:contextualSpacing w:val="0"/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County</w:t>
            </w:r>
          </w:p>
        </w:tc>
        <w:tc>
          <w:tcPr>
            <w:tcW w:w="1264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23D4" w14:textId="77777777" w:rsidR="008C345B" w:rsidRPr="00DE1D23" w:rsidRDefault="008C345B" w:rsidP="008B0C8D">
            <w:pPr>
              <w:spacing w:line="207" w:lineRule="atLeast"/>
              <w:ind w:left="44"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3</w:t>
            </w:r>
          </w:p>
        </w:tc>
        <w:tc>
          <w:tcPr>
            <w:tcW w:w="1183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436C" w14:textId="77777777" w:rsidR="008C345B" w:rsidRPr="00DE1D23" w:rsidRDefault="008C345B" w:rsidP="008B0C8D">
            <w:pPr>
              <w:spacing w:line="207" w:lineRule="atLeast"/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202</w:t>
            </w:r>
            <w:r>
              <w:rPr>
                <w:rFonts w:ascii="Arial" w:eastAsia="Calibri" w:hAnsi="Arial" w:cs="Arial"/>
                <w:color w:val="FFFFFF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79F36F81" w14:textId="77777777" w:rsidR="008C345B" w:rsidRPr="00DE1D23" w:rsidRDefault="008C345B" w:rsidP="008B0C8D">
            <w:pPr>
              <w:ind w:left="89" w:right="60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$ Change</w:t>
            </w:r>
          </w:p>
        </w:tc>
        <w:tc>
          <w:tcPr>
            <w:tcW w:w="99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B09AFF0" w14:textId="77777777" w:rsidR="008C345B" w:rsidRPr="00DE1D23" w:rsidRDefault="008C345B" w:rsidP="008B0C8D">
            <w:pPr>
              <w:ind w:right="-15"/>
              <w:contextualSpacing w:val="0"/>
              <w:jc w:val="center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color w:val="FFFFFF"/>
                <w:sz w:val="20"/>
                <w:szCs w:val="20"/>
              </w:rPr>
              <w:t>% Chng</w:t>
            </w:r>
          </w:p>
        </w:tc>
      </w:tr>
      <w:tr w:rsidR="008C345B" w:rsidRPr="00DE1D23" w14:paraId="478622E0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7DBE" w14:textId="77777777" w:rsidR="008C345B" w:rsidRPr="00DE1D23" w:rsidRDefault="008C345B" w:rsidP="008B0C8D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Milwaukee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B139" w14:textId="77777777" w:rsidR="008C345B" w:rsidRPr="00DE1D23" w:rsidRDefault="008C345B" w:rsidP="008B0C8D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FD6F50">
              <w:t xml:space="preserve"> $274,139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B152" w14:textId="77777777" w:rsidR="008C345B" w:rsidRPr="00430E07" w:rsidRDefault="008C345B" w:rsidP="008B0C8D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631082">
              <w:t xml:space="preserve"> $293,228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879EB" w14:textId="77777777" w:rsidR="008C345B" w:rsidRPr="00DE1D23" w:rsidRDefault="008C345B" w:rsidP="008B0C8D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83569">
              <w:t xml:space="preserve"> $19,089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AA121F" w14:textId="77777777" w:rsidR="008C345B" w:rsidRPr="00DE1D23" w:rsidRDefault="008C345B" w:rsidP="008B0C8D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C7AB2">
              <w:t>7.0%</w:t>
            </w:r>
          </w:p>
        </w:tc>
      </w:tr>
      <w:tr w:rsidR="008C345B" w:rsidRPr="00DE1D23" w14:paraId="22F88E46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CFB3" w14:textId="77777777" w:rsidR="008C345B" w:rsidRPr="00DE1D23" w:rsidRDefault="008C345B" w:rsidP="008B0C8D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Waukesha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0E8B" w14:textId="77777777" w:rsidR="008C345B" w:rsidRPr="00DE1D23" w:rsidRDefault="008C345B" w:rsidP="008B0C8D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FD6F50">
              <w:t xml:space="preserve"> $502,690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E8E7" w14:textId="77777777" w:rsidR="008C345B" w:rsidRPr="00430E07" w:rsidRDefault="008C345B" w:rsidP="008B0C8D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631082">
              <w:t xml:space="preserve"> $536,275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E1EA9E0" w14:textId="77777777" w:rsidR="008C345B" w:rsidRPr="00DE1D23" w:rsidRDefault="008C345B" w:rsidP="008B0C8D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83569">
              <w:t xml:space="preserve"> $33,585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967ECE9" w14:textId="77777777" w:rsidR="008C345B" w:rsidRPr="00DE1D23" w:rsidRDefault="008C345B" w:rsidP="008B0C8D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C7AB2">
              <w:t>6.7%</w:t>
            </w:r>
          </w:p>
        </w:tc>
      </w:tr>
      <w:tr w:rsidR="008C345B" w:rsidRPr="00DE1D23" w14:paraId="4E38B3AE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6CF00" w14:textId="77777777" w:rsidR="008C345B" w:rsidRPr="00DE1D23" w:rsidRDefault="008C345B" w:rsidP="008B0C8D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Washington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F5FC" w14:textId="77777777" w:rsidR="008C345B" w:rsidRPr="00DE1D23" w:rsidRDefault="008C345B" w:rsidP="008B0C8D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FD6F50">
              <w:t xml:space="preserve"> $502,953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AD39" w14:textId="77777777" w:rsidR="008C345B" w:rsidRPr="00430E07" w:rsidRDefault="008C345B" w:rsidP="008B0C8D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631082">
              <w:t xml:space="preserve"> $539,588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E3407" w14:textId="77777777" w:rsidR="008C345B" w:rsidRPr="00DE1D23" w:rsidRDefault="008C345B" w:rsidP="008B0C8D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83569">
              <w:t xml:space="preserve"> $36,635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EE5F5" w14:textId="77777777" w:rsidR="008C345B" w:rsidRPr="00DE1D23" w:rsidRDefault="008C345B" w:rsidP="008B0C8D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C7AB2">
              <w:t>7.28%</w:t>
            </w:r>
          </w:p>
        </w:tc>
      </w:tr>
      <w:tr w:rsidR="008C345B" w:rsidRPr="00DE1D23" w14:paraId="63C39925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0595" w14:textId="77777777" w:rsidR="008C345B" w:rsidRPr="00DE1D23" w:rsidRDefault="008C345B" w:rsidP="008B0C8D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Ozaukee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0A23" w14:textId="77777777" w:rsidR="008C345B" w:rsidRPr="00DE1D23" w:rsidRDefault="008C345B" w:rsidP="008B0C8D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FD6F50">
              <w:t xml:space="preserve"> $394,775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A8E7F" w14:textId="77777777" w:rsidR="008C345B" w:rsidRPr="00430E07" w:rsidRDefault="008C345B" w:rsidP="008B0C8D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631082">
              <w:t xml:space="preserve"> $411,362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54E9774D" w14:textId="77777777" w:rsidR="008C345B" w:rsidRPr="00DE1D23" w:rsidRDefault="008C345B" w:rsidP="008B0C8D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83569">
              <w:t xml:space="preserve"> $16,587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1B92A4A9" w14:textId="77777777" w:rsidR="008C345B" w:rsidRPr="00DE1D23" w:rsidRDefault="008C345B" w:rsidP="008B0C8D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C7AB2">
              <w:t>4.2%</w:t>
            </w:r>
          </w:p>
        </w:tc>
      </w:tr>
      <w:tr w:rsidR="008C345B" w:rsidRPr="00DE1D23" w14:paraId="72C01478" w14:textId="77777777" w:rsidTr="008B0C8D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711A8" w14:textId="77777777" w:rsidR="008C345B" w:rsidRPr="00DE1D23" w:rsidRDefault="008C345B" w:rsidP="008B0C8D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Metro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457B" w14:textId="77777777" w:rsidR="008C345B" w:rsidRPr="00DE1D23" w:rsidRDefault="008C345B" w:rsidP="008B0C8D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FD6F50">
              <w:t xml:space="preserve"> $418,639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454A" w14:textId="77777777" w:rsidR="008C345B" w:rsidRPr="004F2090" w:rsidRDefault="008C345B" w:rsidP="008B0C8D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b/>
                <w:bCs/>
                <w:szCs w:val="21"/>
              </w:rPr>
            </w:pPr>
            <w:r w:rsidRPr="00631082">
              <w:t xml:space="preserve"> $445,113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21E45" w14:textId="77777777" w:rsidR="008C345B" w:rsidRPr="00DE1D23" w:rsidRDefault="008C345B" w:rsidP="008B0C8D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083569">
              <w:t xml:space="preserve"> $26,474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90169B" w14:textId="77777777" w:rsidR="008C345B" w:rsidRPr="00DE1D23" w:rsidRDefault="008C345B" w:rsidP="008B0C8D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4C7AB2">
              <w:t>6.3%</w:t>
            </w:r>
          </w:p>
        </w:tc>
      </w:tr>
      <w:tr w:rsidR="008C345B" w:rsidRPr="00DE1D23" w14:paraId="5EE9AD65" w14:textId="77777777" w:rsidTr="008B0C8D">
        <w:trPr>
          <w:trHeight w:val="90"/>
        </w:trPr>
        <w:tc>
          <w:tcPr>
            <w:tcW w:w="6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2978" w14:textId="77777777" w:rsidR="008C345B" w:rsidRPr="00430E07" w:rsidRDefault="008C345B" w:rsidP="008B0C8D">
            <w:pPr>
              <w:spacing w:line="252" w:lineRule="auto"/>
              <w:ind w:right="-15"/>
              <w:contextualSpacing w:val="0"/>
              <w:jc w:val="right"/>
              <w:rPr>
                <w:rFonts w:eastAsia="Calibri" w:cs="Arial"/>
                <w:sz w:val="10"/>
                <w:szCs w:val="10"/>
              </w:rPr>
            </w:pPr>
          </w:p>
        </w:tc>
      </w:tr>
      <w:tr w:rsidR="008C345B" w:rsidRPr="00DE1D23" w14:paraId="7FB0D235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DC80" w14:textId="77777777" w:rsidR="008C345B" w:rsidRPr="00DE1D23" w:rsidRDefault="008C345B" w:rsidP="008B0C8D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Racine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E80D" w14:textId="77777777" w:rsidR="008C345B" w:rsidRPr="00DE1D23" w:rsidRDefault="008C345B" w:rsidP="008B0C8D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46717E">
              <w:t xml:space="preserve"> $280,424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147C" w14:textId="77777777" w:rsidR="008C345B" w:rsidRPr="00430E07" w:rsidRDefault="008C345B" w:rsidP="008B0C8D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916F2D">
              <w:t xml:space="preserve"> $316,712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5CA1E" w14:textId="77777777" w:rsidR="008C345B" w:rsidRPr="00DE1D23" w:rsidRDefault="008C345B" w:rsidP="008B0C8D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E3FB8">
              <w:t xml:space="preserve"> $36,288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97980C" w14:textId="77777777" w:rsidR="008C345B" w:rsidRPr="00DE1D23" w:rsidRDefault="008C345B" w:rsidP="008B0C8D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A426F">
              <w:t>12.9%</w:t>
            </w:r>
          </w:p>
        </w:tc>
      </w:tr>
      <w:tr w:rsidR="008C345B" w:rsidRPr="00DE1D23" w14:paraId="0D6DA120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30E4" w14:textId="77777777" w:rsidR="008C345B" w:rsidRPr="00DE1D23" w:rsidRDefault="008C345B" w:rsidP="008B0C8D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Kenosha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7B90" w14:textId="77777777" w:rsidR="008C345B" w:rsidRPr="00DE1D23" w:rsidRDefault="008C345B" w:rsidP="008B0C8D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46717E">
              <w:t xml:space="preserve"> $316,075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09E4" w14:textId="77777777" w:rsidR="008C345B" w:rsidRPr="00430E07" w:rsidRDefault="008C345B" w:rsidP="008B0C8D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916F2D">
              <w:t xml:space="preserve"> $338,418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69067413" w14:textId="77777777" w:rsidR="008C345B" w:rsidRPr="00DE1D23" w:rsidRDefault="008C345B" w:rsidP="008B0C8D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E3FB8">
              <w:t xml:space="preserve"> $22,343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379FEDAC" w14:textId="77777777" w:rsidR="008C345B" w:rsidRPr="00DE1D23" w:rsidRDefault="008C345B" w:rsidP="008B0C8D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A426F">
              <w:t>7.1%</w:t>
            </w:r>
          </w:p>
        </w:tc>
      </w:tr>
      <w:tr w:rsidR="008C345B" w:rsidRPr="00DE1D23" w14:paraId="430E1F89" w14:textId="77777777" w:rsidTr="008B0C8D">
        <w:trPr>
          <w:trHeight w:val="288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0099" w14:textId="77777777" w:rsidR="008C345B" w:rsidRPr="00DE1D23" w:rsidRDefault="008C345B" w:rsidP="008B0C8D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Walworth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BB5C" w14:textId="77777777" w:rsidR="008C345B" w:rsidRPr="00DE1D23" w:rsidRDefault="008C345B" w:rsidP="008B0C8D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46717E">
              <w:t xml:space="preserve"> $547,626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80BA" w14:textId="77777777" w:rsidR="008C345B" w:rsidRPr="00430E07" w:rsidRDefault="008C345B" w:rsidP="008B0C8D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916F2D">
              <w:t xml:space="preserve"> $545,851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94445" w14:textId="77777777" w:rsidR="008C345B" w:rsidRPr="00DE1D23" w:rsidRDefault="008C345B" w:rsidP="008B0C8D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E3FB8">
              <w:t xml:space="preserve"> $(1,775)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6D1011" w14:textId="77777777" w:rsidR="008C345B" w:rsidRPr="00DE1D23" w:rsidRDefault="008C345B" w:rsidP="008B0C8D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A426F">
              <w:t>-0.3%</w:t>
            </w:r>
          </w:p>
        </w:tc>
      </w:tr>
      <w:tr w:rsidR="008C345B" w:rsidRPr="00DE1D23" w14:paraId="47DC6073" w14:textId="77777777" w:rsidTr="008B0C8D">
        <w:trPr>
          <w:trHeight w:val="288"/>
        </w:trPr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CAFED" w14:textId="77777777" w:rsidR="008C345B" w:rsidRPr="00DE1D23" w:rsidRDefault="008C345B" w:rsidP="008B0C8D">
            <w:pPr>
              <w:spacing w:line="252" w:lineRule="auto"/>
              <w:ind w:left="62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DE1D23">
              <w:rPr>
                <w:rFonts w:ascii="Arial" w:eastAsia="Calibri" w:hAnsi="Arial" w:cs="Arial"/>
                <w:sz w:val="20"/>
                <w:szCs w:val="20"/>
              </w:rPr>
              <w:t>SE WI Area Avg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D2D1" w14:textId="77777777" w:rsidR="008C345B" w:rsidRPr="00DE1D23" w:rsidRDefault="008C345B" w:rsidP="008B0C8D">
            <w:pPr>
              <w:spacing w:line="252" w:lineRule="auto"/>
              <w:ind w:left="44" w:right="-15"/>
              <w:contextualSpacing w:val="0"/>
              <w:rPr>
                <w:rFonts w:ascii="Arial" w:eastAsia="Calibri" w:hAnsi="Arial" w:cs="Arial"/>
                <w:sz w:val="20"/>
                <w:szCs w:val="20"/>
              </w:rPr>
            </w:pPr>
            <w:r w:rsidRPr="0046717E">
              <w:t xml:space="preserve"> $402,669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6CDA" w14:textId="77777777" w:rsidR="008C345B" w:rsidRPr="00430E07" w:rsidRDefault="008C345B" w:rsidP="008B0C8D">
            <w:pPr>
              <w:spacing w:line="252" w:lineRule="auto"/>
              <w:ind w:left="-90" w:right="-15"/>
              <w:contextualSpacing w:val="0"/>
              <w:jc w:val="center"/>
              <w:rPr>
                <w:rFonts w:eastAsia="Calibri" w:cs="Arial"/>
                <w:szCs w:val="21"/>
              </w:rPr>
            </w:pPr>
            <w:r w:rsidRPr="00916F2D">
              <w:t xml:space="preserve"> $425,919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74ADA143" w14:textId="77777777" w:rsidR="008C345B" w:rsidRPr="00DE1D23" w:rsidRDefault="008C345B" w:rsidP="008B0C8D">
            <w:pPr>
              <w:spacing w:line="252" w:lineRule="auto"/>
              <w:ind w:left="89" w:right="18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FE3FB8">
              <w:t xml:space="preserve"> $23,250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</w:tcPr>
          <w:p w14:paraId="44107EC7" w14:textId="77777777" w:rsidR="008C345B" w:rsidRPr="00DE1D23" w:rsidRDefault="008C345B" w:rsidP="008B0C8D">
            <w:pPr>
              <w:spacing w:line="252" w:lineRule="auto"/>
              <w:ind w:right="255"/>
              <w:contextualSpacing w:val="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BA426F">
              <w:t>5.8%</w:t>
            </w:r>
          </w:p>
        </w:tc>
      </w:tr>
    </w:tbl>
    <w:p w14:paraId="3580E905" w14:textId="77777777" w:rsidR="002920FB" w:rsidRDefault="002920FB" w:rsidP="003244DA"/>
    <w:p w14:paraId="552448E6" w14:textId="1DBB4CE0" w:rsidR="003244DA" w:rsidRDefault="003244DA" w:rsidP="003244DA">
      <w:r>
        <w:t xml:space="preserve">That will result in problems decades down the road when families do not have enough home equity to tap into for college expenses, to remodel their home, or for emergencies. </w:t>
      </w:r>
    </w:p>
    <w:p w14:paraId="6C6A5D4A" w14:textId="77777777" w:rsidR="003244DA" w:rsidRPr="00985B7F" w:rsidRDefault="003244DA" w:rsidP="003244DA">
      <w:pPr>
        <w:pStyle w:val="ParagraphIntro"/>
      </w:pPr>
      <w:r w:rsidRPr="00985B7F">
        <w:lastRenderedPageBreak/>
        <w:t>Where to go</w:t>
      </w:r>
    </w:p>
    <w:p w14:paraId="4789C15D" w14:textId="77777777" w:rsidR="003244DA" w:rsidRPr="00627017" w:rsidRDefault="003244DA" w:rsidP="003244DA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627017" w:rsidRDefault="003244DA" w:rsidP="003244DA"/>
    <w:p w14:paraId="4D2D04D8" w14:textId="77777777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 a wholly owned subsidiary of GMAR.</w:t>
      </w:r>
      <w:r>
        <w:t xml:space="preserve"> </w:t>
      </w:r>
    </w:p>
    <w:p w14:paraId="531FC2C9" w14:textId="77777777" w:rsidR="003244DA" w:rsidRPr="00627017" w:rsidRDefault="003244DA" w:rsidP="003244DA"/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627017" w:rsidRDefault="003244DA" w:rsidP="003244DA">
      <w:pPr>
        <w:rPr>
          <w:sz w:val="20"/>
          <w:szCs w:val="20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77777777" w:rsidR="003244DA" w:rsidRPr="00627017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04B449FD" w14:textId="76A7201E" w:rsidR="002920FB" w:rsidRDefault="002920FB">
      <w:pPr>
        <w:spacing w:after="160" w:line="259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7FA9B6E" w14:textId="35863C61" w:rsidR="00722A43" w:rsidRDefault="00160B50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9C7361E" wp14:editId="368AC014">
            <wp:extent cx="5486400" cy="3200400"/>
            <wp:effectExtent l="0" t="0" r="0" b="0"/>
            <wp:docPr id="14630809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6C0D0699" w:rsidR="00FE2AA3" w:rsidRDefault="00752249" w:rsidP="004E6698">
      <w:pPr>
        <w:spacing w:after="120" w:line="300" w:lineRule="auto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043760">
        <w:rPr>
          <w:rStyle w:val="NormalCalloutText"/>
        </w:rPr>
        <w:t>September</w:t>
      </w:r>
      <w:r w:rsidR="0060287B" w:rsidRPr="00F84C72">
        <w:rPr>
          <w:rStyle w:val="NormalCalloutText"/>
        </w:rPr>
        <w:t xml:space="preserve"> was </w:t>
      </w:r>
      <w:r w:rsidR="00160B50">
        <w:rPr>
          <w:rStyle w:val="NormalCalloutText"/>
        </w:rPr>
        <w:t>3</w:t>
      </w:r>
      <w:r w:rsidR="002920FB">
        <w:rPr>
          <w:rStyle w:val="NormalCalloutText"/>
        </w:rPr>
        <w:t>.</w:t>
      </w:r>
      <w:r w:rsidR="00160B50">
        <w:rPr>
          <w:rStyle w:val="NormalCalloutText"/>
        </w:rPr>
        <w:t>2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160B50">
        <w:rPr>
          <w:b/>
          <w:bCs/>
          <w:color w:val="203058"/>
        </w:rPr>
        <w:t>3,062</w:t>
      </w:r>
      <w:r w:rsidR="00FE2AA3" w:rsidRPr="00F84C72">
        <w:rPr>
          <w:rStyle w:val="NormalCalloutText"/>
        </w:rPr>
        <w:t xml:space="preserve"> 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160B50">
        <w:rPr>
          <w:rStyle w:val="NormalCalloutText"/>
        </w:rPr>
        <w:t>6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16EE24E2" w:rsidR="00FE2AA3" w:rsidRDefault="00160B50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4909B9A8" wp14:editId="03F79F1A">
            <wp:extent cx="5486400" cy="2971800"/>
            <wp:effectExtent l="0" t="0" r="0" b="0"/>
            <wp:docPr id="10166539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7CF00696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082AAF">
        <w:t>4</w:t>
      </w:r>
      <w:r w:rsidRPr="00E65D35">
        <w:t>,</w:t>
      </w:r>
      <w:r w:rsidR="00160B50">
        <w:t>435</w:t>
      </w:r>
      <w:r w:rsidRPr="00E65D35">
        <w:t xml:space="preserve"> current listings providing </w:t>
      </w:r>
      <w:r w:rsidR="00160B50">
        <w:t>3</w:t>
      </w:r>
      <w:r w:rsidR="00E65D35" w:rsidRPr="00E65D35">
        <w:t>.</w:t>
      </w:r>
      <w:r w:rsidR="00160B50">
        <w:t>2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160B50">
        <w:rPr>
          <w:rStyle w:val="NormalCalloutText"/>
        </w:rPr>
        <w:t>3</w:t>
      </w:r>
      <w:r w:rsidRPr="00F84C72">
        <w:rPr>
          <w:rStyle w:val="NormalCalloutText"/>
        </w:rPr>
        <w:t>,</w:t>
      </w:r>
      <w:r w:rsidR="00160B50">
        <w:rPr>
          <w:rStyle w:val="NormalCalloutText"/>
        </w:rPr>
        <w:t>905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18F53068" w:rsidR="002920FB" w:rsidRDefault="002920FB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6791AF9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14ED44F" w14:textId="7C138C80" w:rsidR="00A5422D" w:rsidRDefault="00160B5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501F99F" wp14:editId="117FD191">
            <wp:extent cx="5943600" cy="3883660"/>
            <wp:effectExtent l="0" t="0" r="0" b="2540"/>
            <wp:docPr id="2462418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8CD902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328C94B1" w14:textId="3F97A048" w:rsidR="006146B0" w:rsidRDefault="00160B5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6ECC771" wp14:editId="72096661">
            <wp:extent cx="5943600" cy="3880485"/>
            <wp:effectExtent l="0" t="0" r="0" b="5715"/>
            <wp:docPr id="8185722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341AD9E-1E6F-4060-A1B9-BF3D45925A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2713AC9" w14:textId="77777777" w:rsidR="006146B0" w:rsidRDefault="006146B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867A0DA" w14:textId="77777777" w:rsidR="004F2090" w:rsidRDefault="004F209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48EDFCE2" w14:textId="339C79F6" w:rsidR="006146B0" w:rsidRDefault="00160B5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4FF9309" wp14:editId="7A7A466C">
            <wp:extent cx="5943600" cy="3878580"/>
            <wp:effectExtent l="0" t="0" r="0" b="7620"/>
            <wp:docPr id="879587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1F0F4FC-9DA8-406A-90B5-E226912534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614DBBB" w14:textId="77777777" w:rsidR="00082AAF" w:rsidRDefault="00082AAF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p w14:paraId="1F178FE3" w14:textId="66C7BB02" w:rsidR="006D1DE2" w:rsidRPr="00082AAF" w:rsidRDefault="00160B50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75E1F29" wp14:editId="16A6C9D3">
            <wp:extent cx="5943600" cy="3561715"/>
            <wp:effectExtent l="0" t="0" r="0" b="635"/>
            <wp:docPr id="17881149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110E93E-EED3-4099-9248-F804754D04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6D1DE2" w:rsidRPr="00082AAF" w:rsidSect="00A5422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58BD1" w14:textId="77777777" w:rsidR="002114BD" w:rsidRDefault="002114BD" w:rsidP="003B327A">
      <w:r>
        <w:separator/>
      </w:r>
    </w:p>
  </w:endnote>
  <w:endnote w:type="continuationSeparator" w:id="0">
    <w:p w14:paraId="535A44C7" w14:textId="77777777" w:rsidR="002114BD" w:rsidRDefault="002114BD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06A04" w14:textId="77777777" w:rsidR="002114BD" w:rsidRDefault="002114BD" w:rsidP="003B327A">
      <w:r>
        <w:separator/>
      </w:r>
    </w:p>
  </w:footnote>
  <w:footnote w:type="continuationSeparator" w:id="0">
    <w:p w14:paraId="7EB89CE7" w14:textId="77777777" w:rsidR="002114BD" w:rsidRDefault="002114BD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3760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05A82"/>
    <w:rsid w:val="00107E28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30AA"/>
    <w:rsid w:val="00153E0D"/>
    <w:rsid w:val="00156337"/>
    <w:rsid w:val="00157115"/>
    <w:rsid w:val="00160B50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101E"/>
    <w:rsid w:val="001F0911"/>
    <w:rsid w:val="001F245E"/>
    <w:rsid w:val="001F5CBD"/>
    <w:rsid w:val="001F7017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54EA2"/>
    <w:rsid w:val="00254F9F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920FB"/>
    <w:rsid w:val="002A41E2"/>
    <w:rsid w:val="002A6B1C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17B7"/>
    <w:rsid w:val="00424608"/>
    <w:rsid w:val="00430E07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1980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4F2090"/>
    <w:rsid w:val="004F4D5B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B5396"/>
    <w:rsid w:val="005C1A84"/>
    <w:rsid w:val="005C25E4"/>
    <w:rsid w:val="005C3BB5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2485"/>
    <w:rsid w:val="006626BD"/>
    <w:rsid w:val="00667F9C"/>
    <w:rsid w:val="0067111B"/>
    <w:rsid w:val="00673F45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D06AC"/>
    <w:rsid w:val="006D13A0"/>
    <w:rsid w:val="006D176A"/>
    <w:rsid w:val="006D195E"/>
    <w:rsid w:val="006D1DE2"/>
    <w:rsid w:val="006D22A4"/>
    <w:rsid w:val="006D6799"/>
    <w:rsid w:val="006E0511"/>
    <w:rsid w:val="006E0DB1"/>
    <w:rsid w:val="006E60DF"/>
    <w:rsid w:val="006F7E40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154C"/>
    <w:rsid w:val="0077361B"/>
    <w:rsid w:val="00775F51"/>
    <w:rsid w:val="00777721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D09D8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07AA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345B"/>
    <w:rsid w:val="008C6F6A"/>
    <w:rsid w:val="008D024B"/>
    <w:rsid w:val="008D51A0"/>
    <w:rsid w:val="008D5219"/>
    <w:rsid w:val="008E494E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3F94"/>
    <w:rsid w:val="00965378"/>
    <w:rsid w:val="0096573C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F68"/>
    <w:rsid w:val="009F21C4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B0545"/>
    <w:rsid w:val="00AB1D2A"/>
    <w:rsid w:val="00AB30DB"/>
    <w:rsid w:val="00AC28D6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6588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0D66"/>
    <w:rsid w:val="00BC1205"/>
    <w:rsid w:val="00BD05F0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24714"/>
    <w:rsid w:val="00C334B0"/>
    <w:rsid w:val="00C34FFF"/>
    <w:rsid w:val="00C407A2"/>
    <w:rsid w:val="00C41C9C"/>
    <w:rsid w:val="00C434EA"/>
    <w:rsid w:val="00C46012"/>
    <w:rsid w:val="00C47C42"/>
    <w:rsid w:val="00C547F1"/>
    <w:rsid w:val="00C5567F"/>
    <w:rsid w:val="00C60C7C"/>
    <w:rsid w:val="00C63ADE"/>
    <w:rsid w:val="00C63D82"/>
    <w:rsid w:val="00C73AAD"/>
    <w:rsid w:val="00C746BD"/>
    <w:rsid w:val="00C76AED"/>
    <w:rsid w:val="00C77E4B"/>
    <w:rsid w:val="00C8517F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7B49"/>
    <w:rsid w:val="00D31E52"/>
    <w:rsid w:val="00D33806"/>
    <w:rsid w:val="00D34058"/>
    <w:rsid w:val="00D36A48"/>
    <w:rsid w:val="00D4300F"/>
    <w:rsid w:val="00D432FD"/>
    <w:rsid w:val="00D465C9"/>
    <w:rsid w:val="00D46FAC"/>
    <w:rsid w:val="00D510F7"/>
    <w:rsid w:val="00D71B10"/>
    <w:rsid w:val="00D729BF"/>
    <w:rsid w:val="00D747A8"/>
    <w:rsid w:val="00D75691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1D7E"/>
    <w:rsid w:val="00E54BEE"/>
    <w:rsid w:val="00E5715D"/>
    <w:rsid w:val="00E5727F"/>
    <w:rsid w:val="00E578C4"/>
    <w:rsid w:val="00E6481D"/>
    <w:rsid w:val="00E64AEC"/>
    <w:rsid w:val="00E65D35"/>
    <w:rsid w:val="00E7187F"/>
    <w:rsid w:val="00E72019"/>
    <w:rsid w:val="00E72902"/>
    <w:rsid w:val="00E739D4"/>
    <w:rsid w:val="00E749C3"/>
    <w:rsid w:val="00E8190F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BD7"/>
    <w:rsid w:val="00F41EBA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3054</c:v>
                </c:pt>
                <c:pt idx="1">
                  <c:v>2792</c:v>
                </c:pt>
                <c:pt idx="2">
                  <c:v>2275</c:v>
                </c:pt>
                <c:pt idx="3">
                  <c:v>2119</c:v>
                </c:pt>
                <c:pt idx="4">
                  <c:v>1833</c:v>
                </c:pt>
                <c:pt idx="5">
                  <c:v>2055</c:v>
                </c:pt>
                <c:pt idx="6">
                  <c:v>2018</c:v>
                </c:pt>
                <c:pt idx="7">
                  <c:v>2297</c:v>
                </c:pt>
                <c:pt idx="8">
                  <c:v>2575</c:v>
                </c:pt>
                <c:pt idx="9">
                  <c:v>2458</c:v>
                </c:pt>
                <c:pt idx="10">
                  <c:v>2945</c:v>
                </c:pt>
                <c:pt idx="11">
                  <c:v>3062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EB-4439-A6D9-9DFF344F6277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1178</c:v>
                </c:pt>
                <c:pt idx="1">
                  <c:v>971</c:v>
                </c:pt>
                <c:pt idx="2">
                  <c:v>804</c:v>
                </c:pt>
                <c:pt idx="3">
                  <c:v>965</c:v>
                </c:pt>
                <c:pt idx="4">
                  <c:v>1181</c:v>
                </c:pt>
                <c:pt idx="5">
                  <c:v>1319</c:v>
                </c:pt>
                <c:pt idx="6">
                  <c:v>1563</c:v>
                </c:pt>
                <c:pt idx="7">
                  <c:v>1613</c:v>
                </c:pt>
                <c:pt idx="8">
                  <c:v>1486</c:v>
                </c:pt>
                <c:pt idx="9">
                  <c:v>1516</c:v>
                </c:pt>
                <c:pt idx="10">
                  <c:v>1401</c:v>
                </c:pt>
                <c:pt idx="11">
                  <c:v>1373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EB-4439-A6D9-9DFF344F6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3.1</c:v>
                </c:pt>
                <c:pt idx="1">
                  <c:v>2.8</c:v>
                </c:pt>
                <c:pt idx="2">
                  <c:v>2.2999999999999998</c:v>
                </c:pt>
                <c:pt idx="3">
                  <c:v>2.2999999999999998</c:v>
                </c:pt>
                <c:pt idx="4">
                  <c:v>2.2000000000000002</c:v>
                </c:pt>
                <c:pt idx="5">
                  <c:v>2.5</c:v>
                </c:pt>
                <c:pt idx="6">
                  <c:v>2.6</c:v>
                </c:pt>
                <c:pt idx="7">
                  <c:v>2.8</c:v>
                </c:pt>
                <c:pt idx="8">
                  <c:v>2.9</c:v>
                </c:pt>
                <c:pt idx="9">
                  <c:v>2.9</c:v>
                </c:pt>
                <c:pt idx="10">
                  <c:v>3.1</c:v>
                </c:pt>
                <c:pt idx="11">
                  <c:v>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AEB-4439-A6D9-9DFF344F6277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1.6</c:v>
                </c:pt>
                <c:pt idx="1">
                  <c:v>1.4</c:v>
                </c:pt>
                <c:pt idx="2">
                  <c:v>0.8</c:v>
                </c:pt>
                <c:pt idx="3">
                  <c:v>1</c:v>
                </c:pt>
                <c:pt idx="4">
                  <c:v>1</c:v>
                </c:pt>
                <c:pt idx="5">
                  <c:v>0.9</c:v>
                </c:pt>
                <c:pt idx="6" formatCode="General">
                  <c:v>0.9</c:v>
                </c:pt>
                <c:pt idx="7">
                  <c:v>1</c:v>
                </c:pt>
                <c:pt idx="8">
                  <c:v>1.1000000000000001</c:v>
                </c:pt>
                <c:pt idx="9">
                  <c:v>1.4</c:v>
                </c:pt>
                <c:pt idx="10">
                  <c:v>1.4</c:v>
                </c:pt>
                <c:pt idx="11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AEB-4439-A6D9-9DFF344F62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Data'!$P$154:$P$165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</c:v>
                </c:pt>
              </c:strCache>
            </c:strRef>
          </c:cat>
          <c:val>
            <c:numRef>
              <c:f>'Monthly Stats Data'!$Q$154:$Q$165</c:f>
              <c:numCache>
                <c:formatCode>_(* #,##0_);_(* \(#,##0\);_(* "-"??_);_(@_)</c:formatCode>
                <c:ptCount val="12"/>
                <c:pt idx="0">
                  <c:v>4232</c:v>
                </c:pt>
                <c:pt idx="1">
                  <c:v>3763</c:v>
                </c:pt>
                <c:pt idx="2">
                  <c:v>3079</c:v>
                </c:pt>
                <c:pt idx="3">
                  <c:v>3084</c:v>
                </c:pt>
                <c:pt idx="4">
                  <c:v>3014</c:v>
                </c:pt>
                <c:pt idx="5">
                  <c:v>3374</c:v>
                </c:pt>
                <c:pt idx="6">
                  <c:v>3581</c:v>
                </c:pt>
                <c:pt idx="7">
                  <c:v>3910</c:v>
                </c:pt>
                <c:pt idx="8">
                  <c:v>4061</c:v>
                </c:pt>
                <c:pt idx="9">
                  <c:v>3974</c:v>
                </c:pt>
                <c:pt idx="10">
                  <c:v>4346</c:v>
                </c:pt>
                <c:pt idx="11">
                  <c:v>4435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D3-4142-AB74-D0FB3831A96E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Data'!$P$154:$P$165</c:f>
              <c:strCache>
                <c:ptCount val="12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</c:v>
                </c:pt>
              </c:strCache>
            </c:strRef>
          </c:cat>
          <c:val>
            <c:numRef>
              <c:f>'Monthly Stats Data'!$T$154:$T$165</c:f>
              <c:numCache>
                <c:formatCode>_(* #,##0_);_(* \(#,##0\);_(* "-"??_);_(@_)</c:formatCode>
                <c:ptCount val="12"/>
                <c:pt idx="0">
                  <c:v>3925</c:v>
                </c:pt>
                <c:pt idx="1">
                  <c:v>4425</c:v>
                </c:pt>
                <c:pt idx="2">
                  <c:v>5100</c:v>
                </c:pt>
                <c:pt idx="3">
                  <c:v>5025</c:v>
                </c:pt>
                <c:pt idx="4">
                  <c:v>5110</c:v>
                </c:pt>
                <c:pt idx="5">
                  <c:v>4800</c:v>
                </c:pt>
                <c:pt idx="6">
                  <c:v>4625</c:v>
                </c:pt>
                <c:pt idx="7">
                  <c:v>4415</c:v>
                </c:pt>
                <c:pt idx="8">
                  <c:v>4325</c:v>
                </c:pt>
                <c:pt idx="9">
                  <c:v>4350</c:v>
                </c:pt>
                <c:pt idx="10">
                  <c:v>4025</c:v>
                </c:pt>
                <c:pt idx="11">
                  <c:v>3905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D3-4142-AB74-D0FB3831A9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4 County Sale Price (Thru 3rd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'3rd QTR County Data'!$D$158</c:f>
              <c:strCache>
                <c:ptCount val="1"/>
                <c:pt idx="0">
                  <c:v> Avg Sale Price </c:v>
                </c:pt>
              </c:strCache>
            </c:strRef>
          </c:tx>
          <c:spPr>
            <a:solidFill>
              <a:srgbClr val="1F4E79"/>
            </a:solidFill>
            <a:ln w="9525"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rgbClr val="1F4E79"/>
              </a:solidFill>
              <a:ln w="9525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786-462C-AAF9-37ADC8912605}"/>
              </c:ext>
            </c:extLst>
          </c:dPt>
          <c:dPt>
            <c:idx val="17"/>
            <c:invertIfNegative val="0"/>
            <c:bubble3D val="0"/>
            <c:spPr>
              <a:solidFill>
                <a:srgbClr val="1F4E79"/>
              </a:solidFill>
              <a:ln w="9525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786-462C-AAF9-37ADC891260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'3rd QTR County Data'!$B$174:$B$198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'3rd QTR County Data'!$D$174:$D$198</c:f>
              <c:numCache>
                <c:formatCode>_("$"* #,##0_);_("$"* \(#,##0\);_("$"* "-"??_);_(@_)</c:formatCode>
                <c:ptCount val="25"/>
                <c:pt idx="0">
                  <c:v>180554</c:v>
                </c:pt>
                <c:pt idx="1">
                  <c:v>186735.75</c:v>
                </c:pt>
                <c:pt idx="2">
                  <c:v>205002.75</c:v>
                </c:pt>
                <c:pt idx="3">
                  <c:v>216405</c:v>
                </c:pt>
                <c:pt idx="4">
                  <c:v>236128.75</c:v>
                </c:pt>
                <c:pt idx="5">
                  <c:v>245881.5</c:v>
                </c:pt>
                <c:pt idx="6">
                  <c:v>258921.5</c:v>
                </c:pt>
                <c:pt idx="7">
                  <c:v>257902.25</c:v>
                </c:pt>
                <c:pt idx="8">
                  <c:v>247393.5</c:v>
                </c:pt>
                <c:pt idx="9">
                  <c:v>220222</c:v>
                </c:pt>
                <c:pt idx="10">
                  <c:v>224569</c:v>
                </c:pt>
                <c:pt idx="11">
                  <c:v>214694.25</c:v>
                </c:pt>
                <c:pt idx="12">
                  <c:v>210513</c:v>
                </c:pt>
                <c:pt idx="13">
                  <c:v>224832.5</c:v>
                </c:pt>
                <c:pt idx="14">
                  <c:v>227366.75</c:v>
                </c:pt>
                <c:pt idx="15">
                  <c:v>241838.75</c:v>
                </c:pt>
                <c:pt idx="16">
                  <c:v>254769.5</c:v>
                </c:pt>
                <c:pt idx="17">
                  <c:v>265591.75</c:v>
                </c:pt>
                <c:pt idx="18">
                  <c:v>285354.75</c:v>
                </c:pt>
                <c:pt idx="19">
                  <c:v>297714.75</c:v>
                </c:pt>
                <c:pt idx="20">
                  <c:v>323509.75</c:v>
                </c:pt>
                <c:pt idx="21">
                  <c:v>367402</c:v>
                </c:pt>
                <c:pt idx="22">
                  <c:v>388550</c:v>
                </c:pt>
                <c:pt idx="23">
                  <c:v>418639.25</c:v>
                </c:pt>
                <c:pt idx="24">
                  <c:v>445113.25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86-462C-AAF9-37ADC89126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457433864"/>
        <c:axId val="45743425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'3rd QTR County Data'!$B$174:$B$198</c15:sqref>
                        </c15:formulaRef>
                      </c:ext>
                    </c:extLst>
                    <c:numCache>
                      <c:formatCode>General</c:formatCode>
                      <c:ptCount val="25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  <c:pt idx="24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'3rd QTR County Data'!$B$174:$B$192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3786-462C-AAF9-37ADC8912605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Data'!$B$174:$B$198</c15:sqref>
                        </c15:formulaRef>
                      </c:ext>
                    </c:extLst>
                    <c:numCache>
                      <c:formatCode>General</c:formatCode>
                      <c:ptCount val="25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  <c:pt idx="24">
                        <c:v>2024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Data'!$C$174:$C$192</c15:sqref>
                        </c15:formulaRef>
                      </c:ext>
                    </c:extLst>
                    <c:numCache>
                      <c:formatCode>_(* #,##0_);_(* \(#,##0\);_(* "-"??_);_(@_)</c:formatCode>
                      <c:ptCount val="19"/>
                      <c:pt idx="0">
                        <c:v>12599</c:v>
                      </c:pt>
                      <c:pt idx="1">
                        <c:v>13222</c:v>
                      </c:pt>
                      <c:pt idx="2">
                        <c:v>14081</c:v>
                      </c:pt>
                      <c:pt idx="3">
                        <c:v>14915</c:v>
                      </c:pt>
                      <c:pt idx="4">
                        <c:v>15566</c:v>
                      </c:pt>
                      <c:pt idx="5">
                        <c:v>16865</c:v>
                      </c:pt>
                      <c:pt idx="6">
                        <c:v>15803</c:v>
                      </c:pt>
                      <c:pt idx="7">
                        <c:v>13861</c:v>
                      </c:pt>
                      <c:pt idx="8">
                        <c:v>11240</c:v>
                      </c:pt>
                      <c:pt idx="9">
                        <c:v>11057</c:v>
                      </c:pt>
                      <c:pt idx="10">
                        <c:v>10310</c:v>
                      </c:pt>
                      <c:pt idx="11">
                        <c:v>10246</c:v>
                      </c:pt>
                      <c:pt idx="12">
                        <c:v>12721</c:v>
                      </c:pt>
                      <c:pt idx="13">
                        <c:v>14335</c:v>
                      </c:pt>
                      <c:pt idx="14">
                        <c:v>13714</c:v>
                      </c:pt>
                      <c:pt idx="15">
                        <c:v>15347</c:v>
                      </c:pt>
                      <c:pt idx="16">
                        <c:v>16324</c:v>
                      </c:pt>
                      <c:pt idx="17">
                        <c:v>16464</c:v>
                      </c:pt>
                      <c:pt idx="18">
                        <c:v>16409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3786-462C-AAF9-37ADC8912605}"/>
                  </c:ext>
                </c:extLst>
              </c15:ser>
            </c15:filteredBarSeries>
          </c:ext>
        </c:extLst>
      </c:bar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4 County Sales (Thru 3rd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'3rd QTR County Data'!$C$158</c:f>
              <c:strCache>
                <c:ptCount val="1"/>
                <c:pt idx="0">
                  <c:v>Number of Units Sold</c:v>
                </c:pt>
              </c:strCache>
            </c:strRef>
          </c:tx>
          <c:spPr>
            <a:ln w="63500" cap="rnd">
              <a:solidFill>
                <a:srgbClr val="1F4E7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1F4E79"/>
                </a:solidFill>
              </a:ln>
              <a:effectLst/>
            </c:spPr>
          </c:marker>
          <c:dPt>
            <c:idx val="6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25B1-4B51-A256-090C0FB3F5FE}"/>
              </c:ext>
            </c:extLst>
          </c:dPt>
          <c:dPt>
            <c:idx val="17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25B1-4B51-A256-090C0FB3F5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1F4E79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'3rd QTR County Data'!$B$174:$B$198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'3rd QTR County Data'!$C$174:$C$198</c:f>
              <c:numCache>
                <c:formatCode>_(* #,##0_);_(* \(#,##0\);_(* "-"??_);_(@_)</c:formatCode>
                <c:ptCount val="25"/>
                <c:pt idx="0">
                  <c:v>12599</c:v>
                </c:pt>
                <c:pt idx="1">
                  <c:v>13222</c:v>
                </c:pt>
                <c:pt idx="2">
                  <c:v>14081</c:v>
                </c:pt>
                <c:pt idx="3">
                  <c:v>14915</c:v>
                </c:pt>
                <c:pt idx="4">
                  <c:v>15566</c:v>
                </c:pt>
                <c:pt idx="5">
                  <c:v>16865</c:v>
                </c:pt>
                <c:pt idx="6">
                  <c:v>15803</c:v>
                </c:pt>
                <c:pt idx="7">
                  <c:v>13861</c:v>
                </c:pt>
                <c:pt idx="8">
                  <c:v>11240</c:v>
                </c:pt>
                <c:pt idx="9">
                  <c:v>11057</c:v>
                </c:pt>
                <c:pt idx="10">
                  <c:v>10310</c:v>
                </c:pt>
                <c:pt idx="11">
                  <c:v>10246</c:v>
                </c:pt>
                <c:pt idx="12">
                  <c:v>12721</c:v>
                </c:pt>
                <c:pt idx="13">
                  <c:v>14335</c:v>
                </c:pt>
                <c:pt idx="14">
                  <c:v>13714</c:v>
                </c:pt>
                <c:pt idx="15">
                  <c:v>15347</c:v>
                </c:pt>
                <c:pt idx="16">
                  <c:v>16324</c:v>
                </c:pt>
                <c:pt idx="17">
                  <c:v>16464</c:v>
                </c:pt>
                <c:pt idx="18">
                  <c:v>16409</c:v>
                </c:pt>
                <c:pt idx="19">
                  <c:v>16162</c:v>
                </c:pt>
                <c:pt idx="20">
                  <c:v>16209</c:v>
                </c:pt>
                <c:pt idx="21">
                  <c:v>17652</c:v>
                </c:pt>
                <c:pt idx="22">
                  <c:v>16135</c:v>
                </c:pt>
                <c:pt idx="23">
                  <c:v>12463</c:v>
                </c:pt>
                <c:pt idx="24">
                  <c:v>12809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5B1-4B51-A256-090C0FB3F5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433864"/>
        <c:axId val="457434256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'3rd QTR County Data'!$B$174:$B$198</c15:sqref>
                        </c15:formulaRef>
                      </c:ext>
                    </c:extLst>
                    <c:numCache>
                      <c:formatCode>General</c:formatCode>
                      <c:ptCount val="25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  <c:pt idx="24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'3rd QTR County Data'!$B$174:$B$195</c15:sqref>
                        </c15:formulaRef>
                      </c:ext>
                    </c:extLst>
                    <c:numCache>
                      <c:formatCode>General</c:formatCode>
                      <c:ptCount val="22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25B1-4B51-A256-090C0FB3F5FE}"/>
                  </c:ext>
                </c:extLst>
              </c15:ser>
            </c15:filteredLineSeries>
            <c15:filteredLineSeries>
              <c15:ser>
                <c:idx val="1"/>
                <c:order val="1"/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Data'!$B$174:$B$198</c15:sqref>
                        </c15:formulaRef>
                      </c:ext>
                    </c:extLst>
                    <c:numCache>
                      <c:formatCode>General</c:formatCode>
                      <c:ptCount val="25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  <c:pt idx="24">
                        <c:v>2024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Data'!$C$174:$C$195</c15:sqref>
                        </c15:formulaRef>
                      </c:ext>
                    </c:extLst>
                    <c:numCache>
                      <c:formatCode>_(* #,##0_);_(* \(#,##0\);_(* "-"??_);_(@_)</c:formatCode>
                      <c:ptCount val="22"/>
                      <c:pt idx="0">
                        <c:v>12599</c:v>
                      </c:pt>
                      <c:pt idx="1">
                        <c:v>13222</c:v>
                      </c:pt>
                      <c:pt idx="2">
                        <c:v>14081</c:v>
                      </c:pt>
                      <c:pt idx="3">
                        <c:v>14915</c:v>
                      </c:pt>
                      <c:pt idx="4">
                        <c:v>15566</c:v>
                      </c:pt>
                      <c:pt idx="5">
                        <c:v>16865</c:v>
                      </c:pt>
                      <c:pt idx="6">
                        <c:v>15803</c:v>
                      </c:pt>
                      <c:pt idx="7">
                        <c:v>13861</c:v>
                      </c:pt>
                      <c:pt idx="8">
                        <c:v>11240</c:v>
                      </c:pt>
                      <c:pt idx="9">
                        <c:v>11057</c:v>
                      </c:pt>
                      <c:pt idx="10">
                        <c:v>10310</c:v>
                      </c:pt>
                      <c:pt idx="11">
                        <c:v>10246</c:v>
                      </c:pt>
                      <c:pt idx="12">
                        <c:v>12721</c:v>
                      </c:pt>
                      <c:pt idx="13">
                        <c:v>14335</c:v>
                      </c:pt>
                      <c:pt idx="14">
                        <c:v>13714</c:v>
                      </c:pt>
                      <c:pt idx="15">
                        <c:v>15347</c:v>
                      </c:pt>
                      <c:pt idx="16">
                        <c:v>16324</c:v>
                      </c:pt>
                      <c:pt idx="17">
                        <c:v>16464</c:v>
                      </c:pt>
                      <c:pt idx="18">
                        <c:v>16409</c:v>
                      </c:pt>
                      <c:pt idx="19">
                        <c:v>16162</c:v>
                      </c:pt>
                      <c:pt idx="20">
                        <c:v>16209</c:v>
                      </c:pt>
                      <c:pt idx="21">
                        <c:v>17652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25B1-4B51-A256-090C0FB3F5FE}"/>
                  </c:ext>
                </c:extLst>
              </c15:ser>
            </c15:filteredLineSeries>
          </c:ext>
        </c:extLst>
      </c:line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  <c:min val="6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7 County Sale Price (Thru 3rd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'3rd QTR County Data'!$D$291</c:f>
              <c:strCache>
                <c:ptCount val="1"/>
                <c:pt idx="0">
                  <c:v> Avg Sale Price </c:v>
                </c:pt>
              </c:strCache>
            </c:strRef>
          </c:tx>
          <c:spPr>
            <a:solidFill>
              <a:srgbClr val="1F4E79"/>
            </a:solidFill>
            <a:ln w="9525"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rgbClr val="1F4E79"/>
              </a:solidFill>
              <a:ln w="9525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387-4065-8E2A-1AD50403F484}"/>
              </c:ext>
            </c:extLst>
          </c:dPt>
          <c:dPt>
            <c:idx val="17"/>
            <c:invertIfNegative val="0"/>
            <c:bubble3D val="0"/>
            <c:spPr>
              <a:solidFill>
                <a:srgbClr val="1F4E79"/>
              </a:solidFill>
              <a:ln w="9525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387-4065-8E2A-1AD50403F4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'3rd QTR County Data'!$B$294:$B$318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'3rd QTR County Data'!$D$294:$D$318</c:f>
              <c:numCache>
                <c:formatCode>_("$"* #,##0_);_("$"* \(#,##0\);_("$"* "-"??_);_(@_)</c:formatCode>
                <c:ptCount val="25"/>
                <c:pt idx="0">
                  <c:v>165672.85714285713</c:v>
                </c:pt>
                <c:pt idx="1">
                  <c:v>173753</c:v>
                </c:pt>
                <c:pt idx="2">
                  <c:v>186249</c:v>
                </c:pt>
                <c:pt idx="3">
                  <c:v>198913.71428571429</c:v>
                </c:pt>
                <c:pt idx="4">
                  <c:v>216819.28571428571</c:v>
                </c:pt>
                <c:pt idx="5">
                  <c:v>231932.57142857142</c:v>
                </c:pt>
                <c:pt idx="6">
                  <c:v>244944.28571428571</c:v>
                </c:pt>
                <c:pt idx="7">
                  <c:v>246164</c:v>
                </c:pt>
                <c:pt idx="8">
                  <c:v>234529.57142857142</c:v>
                </c:pt>
                <c:pt idx="9">
                  <c:v>205776.14285714287</c:v>
                </c:pt>
                <c:pt idx="10">
                  <c:v>205559.28571428571</c:v>
                </c:pt>
                <c:pt idx="11">
                  <c:v>192680.85714285713</c:v>
                </c:pt>
                <c:pt idx="12">
                  <c:v>190716.28571428571</c:v>
                </c:pt>
                <c:pt idx="13">
                  <c:v>200092.42857142858</c:v>
                </c:pt>
                <c:pt idx="14">
                  <c:v>207900.85714285713</c:v>
                </c:pt>
                <c:pt idx="15">
                  <c:v>221152.42857142858</c:v>
                </c:pt>
                <c:pt idx="16">
                  <c:v>230926.28571428571</c:v>
                </c:pt>
                <c:pt idx="17">
                  <c:v>246301.14285714287</c:v>
                </c:pt>
                <c:pt idx="18">
                  <c:v>264816.14285714284</c:v>
                </c:pt>
                <c:pt idx="19">
                  <c:v>277172.42857142858</c:v>
                </c:pt>
                <c:pt idx="20">
                  <c:v>306317.85714285716</c:v>
                </c:pt>
                <c:pt idx="21">
                  <c:v>347398.85714285716</c:v>
                </c:pt>
                <c:pt idx="22">
                  <c:v>368338.85714285716</c:v>
                </c:pt>
                <c:pt idx="23">
                  <c:v>402668.85714285716</c:v>
                </c:pt>
                <c:pt idx="24">
                  <c:v>425919.14285714284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87-4065-8E2A-1AD50403F4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457433864"/>
        <c:axId val="45743425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'3rd QTR County Data'!$B$294:$B$318</c15:sqref>
                        </c15:formulaRef>
                      </c:ext>
                    </c:extLst>
                    <c:numCache>
                      <c:formatCode>General</c:formatCode>
                      <c:ptCount val="25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  <c:pt idx="24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'3rd QTR County Data'!$B$174:$B$192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D387-4065-8E2A-1AD50403F484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Data'!$B$294:$B$318</c15:sqref>
                        </c15:formulaRef>
                      </c:ext>
                    </c:extLst>
                    <c:numCache>
                      <c:formatCode>General</c:formatCode>
                      <c:ptCount val="25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  <c:pt idx="24">
                        <c:v>2024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Data'!$C$174:$C$192</c15:sqref>
                        </c15:formulaRef>
                      </c:ext>
                    </c:extLst>
                    <c:numCache>
                      <c:formatCode>_(* #,##0_);_(* \(#,##0\);_(* "-"??_);_(@_)</c:formatCode>
                      <c:ptCount val="19"/>
                      <c:pt idx="0">
                        <c:v>12599</c:v>
                      </c:pt>
                      <c:pt idx="1">
                        <c:v>13222</c:v>
                      </c:pt>
                      <c:pt idx="2">
                        <c:v>14081</c:v>
                      </c:pt>
                      <c:pt idx="3">
                        <c:v>14915</c:v>
                      </c:pt>
                      <c:pt idx="4">
                        <c:v>15566</c:v>
                      </c:pt>
                      <c:pt idx="5">
                        <c:v>16865</c:v>
                      </c:pt>
                      <c:pt idx="6">
                        <c:v>15803</c:v>
                      </c:pt>
                      <c:pt idx="7">
                        <c:v>13861</c:v>
                      </c:pt>
                      <c:pt idx="8">
                        <c:v>11240</c:v>
                      </c:pt>
                      <c:pt idx="9">
                        <c:v>11057</c:v>
                      </c:pt>
                      <c:pt idx="10">
                        <c:v>10310</c:v>
                      </c:pt>
                      <c:pt idx="11">
                        <c:v>10246</c:v>
                      </c:pt>
                      <c:pt idx="12">
                        <c:v>12721</c:v>
                      </c:pt>
                      <c:pt idx="13">
                        <c:v>14335</c:v>
                      </c:pt>
                      <c:pt idx="14">
                        <c:v>13714</c:v>
                      </c:pt>
                      <c:pt idx="15">
                        <c:v>15347</c:v>
                      </c:pt>
                      <c:pt idx="16">
                        <c:v>16324</c:v>
                      </c:pt>
                      <c:pt idx="17">
                        <c:v>16464</c:v>
                      </c:pt>
                      <c:pt idx="18">
                        <c:v>16409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387-4065-8E2A-1AD50403F484}"/>
                  </c:ext>
                </c:extLst>
              </c15:ser>
            </c15:filteredBarSeries>
          </c:ext>
        </c:extLst>
      </c:bar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_);_(&quot;$&quot;* \(#,##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latin typeface="Palatino Linotype" panose="02040502050505030304" pitchFamily="18" charset="0"/>
              </a:rPr>
              <a:t>7 County Sales (Thru 3rd Qtr)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2"/>
          <c:tx>
            <c:strRef>
              <c:f>'3rd QTR County Data'!$C$291</c:f>
              <c:strCache>
                <c:ptCount val="1"/>
                <c:pt idx="0">
                  <c:v>Number of Units Sold</c:v>
                </c:pt>
              </c:strCache>
            </c:strRef>
          </c:tx>
          <c:spPr>
            <a:ln w="63500" cap="rnd">
              <a:solidFill>
                <a:srgbClr val="1F4E7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1F4E79"/>
                </a:solidFill>
              </a:ln>
              <a:effectLst/>
            </c:spPr>
          </c:marker>
          <c:dPt>
            <c:idx val="6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9C4-4EFE-BD6A-69DE0F73B722}"/>
              </c:ext>
            </c:extLst>
          </c:dPt>
          <c:dPt>
            <c:idx val="17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1F4E79"/>
                  </a:solidFill>
                </a:ln>
                <a:effectLst/>
              </c:spPr>
            </c:marker>
            <c:bubble3D val="0"/>
            <c:spPr>
              <a:ln w="63500" cap="rnd">
                <a:solidFill>
                  <a:srgbClr val="1F4E79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9C4-4EFE-BD6A-69DE0F73B7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0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1F4E79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'3rd QTR County Data'!$B$294:$B$318</c:f>
              <c:numCache>
                <c:formatCode>General</c:formatCode>
                <c:ptCount val="25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  <c:pt idx="24">
                  <c:v>2024</c:v>
                </c:pt>
              </c:numCache>
            </c:numRef>
          </c:cat>
          <c:val>
            <c:numRef>
              <c:f>'3rd QTR County Data'!$C$294:$C$318</c:f>
              <c:numCache>
                <c:formatCode>_(* #,##0_);_(* \(#,##0\);_(* "-"??_);_(@_)</c:formatCode>
                <c:ptCount val="25"/>
                <c:pt idx="0">
                  <c:v>17019</c:v>
                </c:pt>
                <c:pt idx="1">
                  <c:v>17799</c:v>
                </c:pt>
                <c:pt idx="2">
                  <c:v>19038</c:v>
                </c:pt>
                <c:pt idx="3">
                  <c:v>20090</c:v>
                </c:pt>
                <c:pt idx="4">
                  <c:v>21273</c:v>
                </c:pt>
                <c:pt idx="5">
                  <c:v>22772</c:v>
                </c:pt>
                <c:pt idx="6">
                  <c:v>20975</c:v>
                </c:pt>
                <c:pt idx="7">
                  <c:v>18454</c:v>
                </c:pt>
                <c:pt idx="8">
                  <c:v>14798</c:v>
                </c:pt>
                <c:pt idx="9">
                  <c:v>14130</c:v>
                </c:pt>
                <c:pt idx="10">
                  <c:v>13586</c:v>
                </c:pt>
                <c:pt idx="11">
                  <c:v>13603</c:v>
                </c:pt>
                <c:pt idx="12">
                  <c:v>16574</c:v>
                </c:pt>
                <c:pt idx="13">
                  <c:v>18936</c:v>
                </c:pt>
                <c:pt idx="14">
                  <c:v>18071</c:v>
                </c:pt>
                <c:pt idx="15">
                  <c:v>20427</c:v>
                </c:pt>
                <c:pt idx="16">
                  <c:v>21786</c:v>
                </c:pt>
                <c:pt idx="17">
                  <c:v>21975</c:v>
                </c:pt>
                <c:pt idx="18">
                  <c:v>21845</c:v>
                </c:pt>
                <c:pt idx="19">
                  <c:v>21600</c:v>
                </c:pt>
                <c:pt idx="20">
                  <c:v>21670</c:v>
                </c:pt>
                <c:pt idx="21">
                  <c:v>23539</c:v>
                </c:pt>
                <c:pt idx="22">
                  <c:v>21358</c:v>
                </c:pt>
                <c:pt idx="23">
                  <c:v>16550</c:v>
                </c:pt>
                <c:pt idx="24">
                  <c:v>16876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9C4-4EFE-BD6A-69DE0F73B7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7433864"/>
        <c:axId val="457434256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'3rd QTR County Data'!$B$294:$B$318</c15:sqref>
                        </c15:formulaRef>
                      </c:ext>
                    </c:extLst>
                    <c:numCache>
                      <c:formatCode>General</c:formatCode>
                      <c:ptCount val="25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  <c:pt idx="24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'3rd QTR County Data'!$B$174:$B$192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5-89C4-4EFE-BD6A-69DE0F73B722}"/>
                  </c:ext>
                </c:extLst>
              </c15:ser>
            </c15:filteredLineSeries>
            <c15:filteredLineSeries>
              <c15:ser>
                <c:idx val="1"/>
                <c:order val="1"/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2"/>
                    </a:solidFill>
                    <a:ln w="9525">
                      <a:solidFill>
                        <a:schemeClr val="accent2"/>
                      </a:solidFill>
                    </a:ln>
                    <a:effectLst/>
                  </c:spPr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Data'!$B$294:$B$318</c15:sqref>
                        </c15:formulaRef>
                      </c:ext>
                    </c:extLst>
                    <c:numCache>
                      <c:formatCode>General</c:formatCode>
                      <c:ptCount val="25"/>
                      <c:pt idx="0">
                        <c:v>2000</c:v>
                      </c:pt>
                      <c:pt idx="1">
                        <c:v>2001</c:v>
                      </c:pt>
                      <c:pt idx="2">
                        <c:v>2002</c:v>
                      </c:pt>
                      <c:pt idx="3">
                        <c:v>2003</c:v>
                      </c:pt>
                      <c:pt idx="4">
                        <c:v>2004</c:v>
                      </c:pt>
                      <c:pt idx="5">
                        <c:v>2005</c:v>
                      </c:pt>
                      <c:pt idx="6">
                        <c:v>2006</c:v>
                      </c:pt>
                      <c:pt idx="7">
                        <c:v>2007</c:v>
                      </c:pt>
                      <c:pt idx="8">
                        <c:v>2008</c:v>
                      </c:pt>
                      <c:pt idx="9">
                        <c:v>2009</c:v>
                      </c:pt>
                      <c:pt idx="10">
                        <c:v>2010</c:v>
                      </c:pt>
                      <c:pt idx="11">
                        <c:v>2011</c:v>
                      </c:pt>
                      <c:pt idx="12">
                        <c:v>2012</c:v>
                      </c:pt>
                      <c:pt idx="13">
                        <c:v>2013</c:v>
                      </c:pt>
                      <c:pt idx="14">
                        <c:v>2014</c:v>
                      </c:pt>
                      <c:pt idx="15">
                        <c:v>2015</c:v>
                      </c:pt>
                      <c:pt idx="16">
                        <c:v>2016</c:v>
                      </c:pt>
                      <c:pt idx="17">
                        <c:v>2017</c:v>
                      </c:pt>
                      <c:pt idx="18">
                        <c:v>2018</c:v>
                      </c:pt>
                      <c:pt idx="19">
                        <c:v>2019</c:v>
                      </c:pt>
                      <c:pt idx="20">
                        <c:v>2020</c:v>
                      </c:pt>
                      <c:pt idx="21">
                        <c:v>2021</c:v>
                      </c:pt>
                      <c:pt idx="22">
                        <c:v>2022</c:v>
                      </c:pt>
                      <c:pt idx="23">
                        <c:v>2023</c:v>
                      </c:pt>
                      <c:pt idx="24">
                        <c:v>2024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'3rd QTR County Data'!$C$174:$C$192</c15:sqref>
                        </c15:formulaRef>
                      </c:ext>
                    </c:extLst>
                    <c:numCache>
                      <c:formatCode>_(* #,##0_);_(* \(#,##0\);_(* "-"??_);_(@_)</c:formatCode>
                      <c:ptCount val="19"/>
                      <c:pt idx="0">
                        <c:v>12599</c:v>
                      </c:pt>
                      <c:pt idx="1">
                        <c:v>13222</c:v>
                      </c:pt>
                      <c:pt idx="2">
                        <c:v>14081</c:v>
                      </c:pt>
                      <c:pt idx="3">
                        <c:v>14915</c:v>
                      </c:pt>
                      <c:pt idx="4">
                        <c:v>15566</c:v>
                      </c:pt>
                      <c:pt idx="5">
                        <c:v>16865</c:v>
                      </c:pt>
                      <c:pt idx="6">
                        <c:v>15803</c:v>
                      </c:pt>
                      <c:pt idx="7">
                        <c:v>13861</c:v>
                      </c:pt>
                      <c:pt idx="8">
                        <c:v>11240</c:v>
                      </c:pt>
                      <c:pt idx="9">
                        <c:v>11057</c:v>
                      </c:pt>
                      <c:pt idx="10">
                        <c:v>10310</c:v>
                      </c:pt>
                      <c:pt idx="11">
                        <c:v>10246</c:v>
                      </c:pt>
                      <c:pt idx="12">
                        <c:v>12721</c:v>
                      </c:pt>
                      <c:pt idx="13">
                        <c:v>14335</c:v>
                      </c:pt>
                      <c:pt idx="14">
                        <c:v>13714</c:v>
                      </c:pt>
                      <c:pt idx="15">
                        <c:v>15347</c:v>
                      </c:pt>
                      <c:pt idx="16">
                        <c:v>16324</c:v>
                      </c:pt>
                      <c:pt idx="17">
                        <c:v>16464</c:v>
                      </c:pt>
                      <c:pt idx="18">
                        <c:v>16409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89C4-4EFE-BD6A-69DE0F73B722}"/>
                  </c:ext>
                </c:extLst>
              </c15:ser>
            </c15:filteredLineSeries>
          </c:ext>
        </c:extLst>
      </c:lineChart>
      <c:catAx>
        <c:axId val="45743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4256"/>
        <c:crosses val="autoZero"/>
        <c:auto val="1"/>
        <c:lblAlgn val="ctr"/>
        <c:lblOffset val="100"/>
        <c:noMultiLvlLbl val="0"/>
      </c:catAx>
      <c:valAx>
        <c:axId val="457434256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n-US"/>
          </a:p>
        </c:txPr>
        <c:crossAx val="45743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4</cp:revision>
  <cp:lastPrinted>2024-10-14T16:20:00Z</cp:lastPrinted>
  <dcterms:created xsi:type="dcterms:W3CDTF">2024-10-14T14:29:00Z</dcterms:created>
  <dcterms:modified xsi:type="dcterms:W3CDTF">2024-10-14T16:35:00Z</dcterms:modified>
</cp:coreProperties>
</file>