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drawings/drawing2.xml" ContentType="application/vnd.openxmlformats-officedocument.drawingml.chartshapes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drawings/drawing3.xml" ContentType="application/vnd.openxmlformats-officedocument.drawingml.chartshapes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drawings/drawing4.xml" ContentType="application/vnd.openxmlformats-officedocument.drawingml.chartshapes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77777777" w:rsidR="00127EF0" w:rsidRPr="000A1E2F" w:rsidRDefault="001F5CBD" w:rsidP="001F5CBD">
      <w:pPr>
        <w:jc w:val="center"/>
        <w:rPr>
          <w:rFonts w:ascii="Arial" w:hAnsi="Arial" w:cs="Arial"/>
          <w:sz w:val="24"/>
          <w:szCs w:val="24"/>
        </w:rPr>
      </w:pPr>
      <w:bookmarkStart w:id="0" w:name="_MailOriginal"/>
      <w:r w:rsidRPr="000A1E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1D589CA" wp14:editId="0813EEDE">
            <wp:simplePos x="0" y="0"/>
            <wp:positionH relativeFrom="column">
              <wp:posOffset>4257040</wp:posOffset>
            </wp:positionH>
            <wp:positionV relativeFrom="paragraph">
              <wp:posOffset>0</wp:posOffset>
            </wp:positionV>
            <wp:extent cx="2164715" cy="1000125"/>
            <wp:effectExtent l="0" t="0" r="698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MAR 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E2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F5E03" wp14:editId="6B868F19">
                <wp:simplePos x="0" y="0"/>
                <wp:positionH relativeFrom="column">
                  <wp:posOffset>2543175</wp:posOffset>
                </wp:positionH>
                <wp:positionV relativeFrom="paragraph">
                  <wp:posOffset>-419100</wp:posOffset>
                </wp:positionV>
                <wp:extent cx="1552575" cy="1647825"/>
                <wp:effectExtent l="19050" t="0" r="47625" b="28575"/>
                <wp:wrapNone/>
                <wp:docPr id="10" name="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4782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89AC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0" o:spid="_x0000_s1026" type="#_x0000_t55" style="position:absolute;margin-left:200.25pt;margin-top:-33pt;width:122.25pt;height:12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" adj="10800" fillcolor="#1f4d78 [1604]" strokecolor="#1f4d78 [1604]" strokeweight="1pt"/>
            </w:pict>
          </mc:Fallback>
        </mc:AlternateContent>
      </w:r>
      <w:r w:rsidRPr="000A1E2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CB595" wp14:editId="623EE693">
                <wp:simplePos x="0" y="0"/>
                <wp:positionH relativeFrom="column">
                  <wp:posOffset>-876300</wp:posOffset>
                </wp:positionH>
                <wp:positionV relativeFrom="paragraph">
                  <wp:posOffset>-428625</wp:posOffset>
                </wp:positionV>
                <wp:extent cx="3924300" cy="1647825"/>
                <wp:effectExtent l="0" t="0" r="38100" b="28575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64782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b/>
                                <w:sz w:val="26"/>
                                <w:szCs w:val="26"/>
                              </w:rPr>
                              <w:t>For Immediate Release</w:t>
                            </w:r>
                          </w:p>
                          <w:p w14:paraId="5C7CF5D6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sz w:val="26"/>
                                <w:szCs w:val="26"/>
                              </w:rPr>
                              <w:t>Contact:  Mike Ruzicka</w:t>
                            </w:r>
                          </w:p>
                          <w:p w14:paraId="40F00B14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sz w:val="26"/>
                                <w:szCs w:val="26"/>
                              </w:rPr>
                              <w:t>414.778.4929 or 414.870.1876</w:t>
                            </w:r>
                          </w:p>
                          <w:p w14:paraId="53E5CD2A" w14:textId="09B004E0" w:rsidR="00086B75" w:rsidRPr="001F5CBD" w:rsidRDefault="003A3F49" w:rsidP="001F5CBD">
                            <w:pPr>
                              <w:ind w:firstLine="720"/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="00086B75" w:rsidRPr="003B327A">
                                <w:rPr>
                                  <w:rStyle w:val="Hyperlink"/>
                                  <w:color w:val="FFFFFF" w:themeColor="background1"/>
                                  <w:sz w:val="26"/>
                                  <w:szCs w:val="26"/>
                                </w:rPr>
                                <w:t>mike@gmar.</w:t>
                              </w:r>
                            </w:hyperlink>
                            <w:r w:rsidR="00086B75">
                              <w:rPr>
                                <w:rStyle w:val="Hyperlink"/>
                                <w:color w:val="FFFFFF" w:themeColor="background1"/>
                                <w:sz w:val="26"/>
                                <w:szCs w:val="26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CB59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9" o:spid="_x0000_s1026" type="#_x0000_t15" style="position:absolute;left:0;text-align:left;margin-left:-69pt;margin-top:-33.75pt;width:309pt;height:12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" adj="17065" fillcolor="#1f4d78 [1604]" strokecolor="#1f4d78 [1604]" strokeweight="1pt">
                <v:textbox>
                  <w:txbxContent>
                    <w:p w14:paraId="111E8FBD" w14:textId="77777777" w:rsidR="00086B75" w:rsidRPr="00A66F2A" w:rsidRDefault="00086B75" w:rsidP="001F5CBD">
                      <w:pPr>
                        <w:ind w:right="480" w:firstLine="720"/>
                        <w:rPr>
                          <w:b/>
                          <w:sz w:val="26"/>
                          <w:szCs w:val="26"/>
                        </w:rPr>
                      </w:pPr>
                      <w:r w:rsidRPr="00A66F2A">
                        <w:rPr>
                          <w:b/>
                          <w:sz w:val="26"/>
                          <w:szCs w:val="26"/>
                        </w:rPr>
                        <w:t>For Immediate Release</w:t>
                      </w:r>
                    </w:p>
                    <w:p w14:paraId="5C7CF5D6" w14:textId="77777777" w:rsidR="00086B75" w:rsidRPr="00A66F2A" w:rsidRDefault="00086B75" w:rsidP="001F5CBD">
                      <w:pPr>
                        <w:ind w:right="480" w:firstLine="720"/>
                        <w:rPr>
                          <w:sz w:val="26"/>
                          <w:szCs w:val="26"/>
                        </w:rPr>
                      </w:pPr>
                      <w:r w:rsidRPr="00A66F2A">
                        <w:rPr>
                          <w:sz w:val="26"/>
                          <w:szCs w:val="26"/>
                        </w:rPr>
                        <w:t>Contact:  Mike Ruzicka</w:t>
                      </w:r>
                    </w:p>
                    <w:p w14:paraId="40F00B14" w14:textId="77777777" w:rsidR="00086B75" w:rsidRPr="00A66F2A" w:rsidRDefault="00086B75" w:rsidP="001F5CBD">
                      <w:pPr>
                        <w:ind w:right="480" w:firstLine="720"/>
                        <w:rPr>
                          <w:sz w:val="26"/>
                          <w:szCs w:val="26"/>
                        </w:rPr>
                      </w:pPr>
                      <w:r w:rsidRPr="00A66F2A">
                        <w:rPr>
                          <w:sz w:val="26"/>
                          <w:szCs w:val="26"/>
                        </w:rPr>
                        <w:t>414.778.4929 or 414.870.1876</w:t>
                      </w:r>
                    </w:p>
                    <w:p w14:paraId="53E5CD2A" w14:textId="09B004E0" w:rsidR="00086B75" w:rsidRPr="001F5CBD" w:rsidRDefault="003A3F49" w:rsidP="001F5CBD">
                      <w:pPr>
                        <w:ind w:firstLine="720"/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086B75" w:rsidRPr="003B327A">
                          <w:rPr>
                            <w:rStyle w:val="Hyperlink"/>
                            <w:color w:val="FFFFFF" w:themeColor="background1"/>
                            <w:sz w:val="26"/>
                            <w:szCs w:val="26"/>
                          </w:rPr>
                          <w:t>mike@gmar.</w:t>
                        </w:r>
                      </w:hyperlink>
                      <w:r w:rsidR="00086B75">
                        <w:rPr>
                          <w:rStyle w:val="Hyperlink"/>
                          <w:color w:val="FFFFFF" w:themeColor="background1"/>
                          <w:sz w:val="26"/>
                          <w:szCs w:val="26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127EF0" w:rsidRPr="000A1E2F">
        <w:rPr>
          <w:rFonts w:ascii="Arial" w:hAnsi="Arial" w:cs="Arial"/>
          <w:sz w:val="24"/>
          <w:szCs w:val="24"/>
        </w:rPr>
        <w:t xml:space="preserve"> </w:t>
      </w:r>
    </w:p>
    <w:p w14:paraId="33E945B2" w14:textId="38582120" w:rsidR="00127EF0" w:rsidRPr="000A1E2F" w:rsidRDefault="00127EF0" w:rsidP="00127EF0">
      <w:pPr>
        <w:rPr>
          <w:rFonts w:ascii="Arial" w:hAnsi="Arial" w:cs="Arial"/>
          <w:sz w:val="24"/>
          <w:szCs w:val="24"/>
        </w:rPr>
      </w:pPr>
    </w:p>
    <w:p w14:paraId="17239243" w14:textId="142ECE24" w:rsidR="00127EF0" w:rsidRPr="000A1E2F" w:rsidRDefault="00127EF0" w:rsidP="00127EF0">
      <w:pPr>
        <w:rPr>
          <w:rFonts w:ascii="Arial" w:hAnsi="Arial" w:cs="Arial"/>
          <w:sz w:val="24"/>
          <w:szCs w:val="24"/>
        </w:rPr>
      </w:pPr>
    </w:p>
    <w:p w14:paraId="4AAECA96" w14:textId="58D207FE" w:rsidR="00127EF0" w:rsidRPr="000A1E2F" w:rsidRDefault="00127EF0" w:rsidP="00127E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9EC9D0" w14:textId="56564CD4" w:rsidR="001F5CBD" w:rsidRPr="000A1E2F" w:rsidRDefault="001F5CBD" w:rsidP="00127EF0">
      <w:pPr>
        <w:spacing w:before="120" w:after="120"/>
        <w:ind w:left="-360" w:right="-36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1CB10AEE" w14:textId="7778E465" w:rsidR="001F5CBD" w:rsidRPr="000A1E2F" w:rsidRDefault="001F5CBD" w:rsidP="001F5CBD">
      <w:pPr>
        <w:spacing w:before="120" w:after="120"/>
        <w:ind w:left="-360" w:right="-36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3267D06C" w14:textId="46FA9118" w:rsidR="00E5715D" w:rsidRPr="000A1E2F" w:rsidRDefault="006D4C10" w:rsidP="00E5715D">
      <w:pPr>
        <w:spacing w:before="120" w:after="120"/>
        <w:ind w:left="-360" w:right="-360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Home Sales Up </w:t>
      </w:r>
      <w:r w:rsidR="001924E5">
        <w:rPr>
          <w:rFonts w:ascii="Arial" w:hAnsi="Arial" w:cs="Arial"/>
          <w:b/>
          <w:bCs/>
          <w:sz w:val="48"/>
          <w:szCs w:val="48"/>
        </w:rPr>
        <w:t>2</w:t>
      </w:r>
      <w:r>
        <w:rPr>
          <w:rFonts w:ascii="Arial" w:hAnsi="Arial" w:cs="Arial"/>
          <w:b/>
          <w:bCs/>
          <w:sz w:val="48"/>
          <w:szCs w:val="48"/>
        </w:rPr>
        <w:t>% in 1</w:t>
      </w:r>
      <w:r w:rsidRPr="006D4C10">
        <w:rPr>
          <w:rFonts w:ascii="Arial" w:hAnsi="Arial" w:cs="Arial"/>
          <w:b/>
          <w:bCs/>
          <w:sz w:val="48"/>
          <w:szCs w:val="48"/>
          <w:vertAlign w:val="superscript"/>
        </w:rPr>
        <w:t>st</w:t>
      </w:r>
      <w:r>
        <w:rPr>
          <w:rFonts w:ascii="Arial" w:hAnsi="Arial" w:cs="Arial"/>
          <w:b/>
          <w:bCs/>
          <w:sz w:val="48"/>
          <w:szCs w:val="48"/>
        </w:rPr>
        <w:t xml:space="preserve"> Quarter</w:t>
      </w:r>
    </w:p>
    <w:p w14:paraId="4EFD022F" w14:textId="07524A05" w:rsidR="00127EF0" w:rsidRPr="000A1E2F" w:rsidRDefault="00FD6F12" w:rsidP="00E5715D">
      <w:pPr>
        <w:spacing w:before="120" w:after="120"/>
        <w:ind w:left="-360" w:right="-360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Up</w:t>
      </w:r>
      <w:r w:rsidR="00681DC8" w:rsidRPr="000A1E2F">
        <w:rPr>
          <w:rFonts w:ascii="Arial" w:hAnsi="Arial" w:cs="Arial"/>
          <w:b/>
          <w:bCs/>
          <w:sz w:val="48"/>
          <w:szCs w:val="48"/>
        </w:rPr>
        <w:t xml:space="preserve"> </w:t>
      </w:r>
      <w:r w:rsidR="001924E5">
        <w:rPr>
          <w:rFonts w:ascii="Arial" w:hAnsi="Arial" w:cs="Arial"/>
          <w:b/>
          <w:bCs/>
          <w:sz w:val="48"/>
          <w:szCs w:val="48"/>
        </w:rPr>
        <w:t>3.4</w:t>
      </w:r>
      <w:r w:rsidR="00681DC8" w:rsidRPr="000A1E2F">
        <w:rPr>
          <w:rFonts w:ascii="Arial" w:hAnsi="Arial" w:cs="Arial"/>
          <w:b/>
          <w:bCs/>
          <w:sz w:val="48"/>
          <w:szCs w:val="48"/>
        </w:rPr>
        <w:t>%</w:t>
      </w:r>
      <w:r w:rsidR="006D4C10">
        <w:rPr>
          <w:rFonts w:ascii="Arial" w:hAnsi="Arial" w:cs="Arial"/>
          <w:b/>
          <w:bCs/>
          <w:sz w:val="48"/>
          <w:szCs w:val="48"/>
        </w:rPr>
        <w:t xml:space="preserve"> in March</w:t>
      </w:r>
    </w:p>
    <w:p w14:paraId="33BE1908" w14:textId="4074191F" w:rsidR="00127EF0" w:rsidRPr="000A1E2F" w:rsidRDefault="00127EF0" w:rsidP="00E302C4">
      <w:pPr>
        <w:ind w:left="-360" w:right="-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60" w:tblpY="70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4315"/>
      </w:tblGrid>
      <w:tr w:rsidR="00E913B2" w:rsidRPr="000A1E2F" w14:paraId="24B40EB5" w14:textId="77777777" w:rsidTr="004F022E">
        <w:trPr>
          <w:trHeight w:val="360"/>
        </w:trPr>
        <w:tc>
          <w:tcPr>
            <w:tcW w:w="5760" w:type="dxa"/>
            <w:vAlign w:val="center"/>
          </w:tcPr>
          <w:p w14:paraId="1E501E17" w14:textId="68425F50" w:rsidR="00E913B2" w:rsidRPr="000A1E2F" w:rsidRDefault="00E913B2" w:rsidP="00E913B2">
            <w:pPr>
              <w:spacing w:before="120" w:after="120"/>
              <w:ind w:left="-115" w:right="-360"/>
              <w:contextualSpacing/>
              <w:rPr>
                <w:rFonts w:ascii="Arial" w:hAnsi="Arial" w:cs="Arial"/>
              </w:rPr>
            </w:pPr>
            <w:r w:rsidRPr="000A1E2F">
              <w:rPr>
                <w:rFonts w:ascii="Arial" w:hAnsi="Arial" w:cs="Arial"/>
                <w:b/>
                <w:bCs/>
              </w:rPr>
              <w:t>Highlights</w:t>
            </w:r>
          </w:p>
        </w:tc>
        <w:tc>
          <w:tcPr>
            <w:tcW w:w="4315" w:type="dxa"/>
            <w:vAlign w:val="center"/>
          </w:tcPr>
          <w:p w14:paraId="1ED3215F" w14:textId="01DC822E" w:rsidR="00E913B2" w:rsidRPr="000A1E2F" w:rsidRDefault="006D4C10" w:rsidP="00E913B2">
            <w:pPr>
              <w:spacing w:before="120" w:after="120"/>
              <w:ind w:left="-115" w:right="-29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April 11</w:t>
            </w:r>
            <w:r w:rsidR="00E913B2" w:rsidRPr="000A1E2F">
              <w:rPr>
                <w:rFonts w:ascii="Arial" w:hAnsi="Arial" w:cs="Arial"/>
                <w:b/>
                <w:bCs/>
              </w:rPr>
              <w:t>, 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E302C4" w:rsidRPr="000A1E2F" w14:paraId="16998B52" w14:textId="77777777" w:rsidTr="009C003E">
        <w:trPr>
          <w:gridAfter w:val="1"/>
          <w:wAfter w:w="4315" w:type="dxa"/>
          <w:trHeight w:val="360"/>
        </w:trPr>
        <w:tc>
          <w:tcPr>
            <w:tcW w:w="5760" w:type="dxa"/>
            <w:shd w:val="clear" w:color="auto" w:fill="auto"/>
            <w:vAlign w:val="center"/>
          </w:tcPr>
          <w:p w14:paraId="2AA4FD63" w14:textId="59A3D073" w:rsidR="00E302C4" w:rsidRPr="000A1E2F" w:rsidRDefault="00DA4294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A429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Quarter Continuing Record Pace</w:t>
            </w:r>
            <w:r w:rsidR="000F0146">
              <w:rPr>
                <w:rFonts w:ascii="Arial" w:hAnsi="Arial" w:cs="Arial"/>
              </w:rPr>
              <w:t xml:space="preserve"> </w:t>
            </w:r>
          </w:p>
        </w:tc>
      </w:tr>
      <w:tr w:rsidR="00E302C4" w:rsidRPr="000A1E2F" w14:paraId="786D284B" w14:textId="77777777" w:rsidTr="009C003E">
        <w:trPr>
          <w:gridAfter w:val="1"/>
          <w:wAfter w:w="4315" w:type="dxa"/>
          <w:trHeight w:val="360"/>
        </w:trPr>
        <w:tc>
          <w:tcPr>
            <w:tcW w:w="5760" w:type="dxa"/>
            <w:shd w:val="clear" w:color="auto" w:fill="auto"/>
            <w:vAlign w:val="center"/>
          </w:tcPr>
          <w:p w14:paraId="1B827FCA" w14:textId="371C741F" w:rsidR="00E302C4" w:rsidRPr="000A1E2F" w:rsidRDefault="00DA4294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Bubble Here</w:t>
            </w:r>
          </w:p>
        </w:tc>
      </w:tr>
      <w:tr w:rsidR="00E302C4" w:rsidRPr="000A1E2F" w14:paraId="07DD8276" w14:textId="77777777" w:rsidTr="004F022E">
        <w:trPr>
          <w:gridAfter w:val="1"/>
          <w:wAfter w:w="4315" w:type="dxa"/>
          <w:trHeight w:val="360"/>
        </w:trPr>
        <w:tc>
          <w:tcPr>
            <w:tcW w:w="5760" w:type="dxa"/>
            <w:shd w:val="clear" w:color="auto" w:fill="auto"/>
            <w:vAlign w:val="center"/>
          </w:tcPr>
          <w:p w14:paraId="0EAFC321" w14:textId="7C02E3D1" w:rsidR="00E302C4" w:rsidRPr="000A1E2F" w:rsidRDefault="00917850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Mortgage </w:t>
            </w:r>
            <w:r w:rsidR="00DA4294">
              <w:rPr>
                <w:rFonts w:ascii="Arial" w:hAnsi="Arial" w:cs="Arial"/>
              </w:rPr>
              <w:t>Interest Rates</w:t>
            </w:r>
          </w:p>
        </w:tc>
      </w:tr>
    </w:tbl>
    <w:p w14:paraId="59E3EC39" w14:textId="29106778" w:rsidR="00E302C4" w:rsidRPr="000A1E2F" w:rsidRDefault="00E302C4" w:rsidP="00E913B2">
      <w:pPr>
        <w:spacing w:before="120" w:after="120"/>
        <w:ind w:right="-360"/>
        <w:contextualSpacing/>
        <w:rPr>
          <w:rFonts w:ascii="Arial" w:hAnsi="Arial" w:cs="Arial"/>
          <w:sz w:val="24"/>
          <w:szCs w:val="24"/>
        </w:rPr>
      </w:pPr>
    </w:p>
    <w:p w14:paraId="27F1EB13" w14:textId="77777777" w:rsidR="00E913B2" w:rsidRPr="000A1E2F" w:rsidRDefault="00E913B2" w:rsidP="00D126F1">
      <w:pPr>
        <w:spacing w:before="120" w:after="120"/>
        <w:ind w:left="-360" w:right="-360"/>
        <w:contextualSpacing/>
        <w:rPr>
          <w:rFonts w:ascii="Arial" w:hAnsi="Arial" w:cs="Arial"/>
        </w:rPr>
      </w:pPr>
    </w:p>
    <w:tbl>
      <w:tblPr>
        <w:tblpPr w:leftFromText="187" w:rightFromText="360" w:bottomFromText="230" w:vertAnchor="text" w:horzAnchor="margin" w:tblpX="-359" w:tblpY="30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932"/>
        <w:gridCol w:w="7"/>
        <w:gridCol w:w="922"/>
        <w:gridCol w:w="1013"/>
      </w:tblGrid>
      <w:tr w:rsidR="00B170CC" w:rsidRPr="000A1E2F" w14:paraId="79E06187" w14:textId="77777777" w:rsidTr="009E62B4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364852A5" w:rsidR="00B170CC" w:rsidRPr="000A1E2F" w:rsidRDefault="006D4C10" w:rsidP="009E62B4">
            <w:pPr>
              <w:spacing w:line="252" w:lineRule="auto"/>
              <w:ind w:left="-105" w:right="8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B170CC" w:rsidRPr="000A1E2F">
              <w:rPr>
                <w:rFonts w:ascii="Arial" w:hAnsi="Arial" w:cs="Arial"/>
                <w:b/>
                <w:sz w:val="20"/>
                <w:szCs w:val="20"/>
              </w:rPr>
              <w:t xml:space="preserve"> Sales</w:t>
            </w:r>
          </w:p>
        </w:tc>
      </w:tr>
      <w:tr w:rsidR="00B170CC" w:rsidRPr="000A1E2F" w14:paraId="5B14E643" w14:textId="77777777" w:rsidTr="009E62B4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 w:themeFill="accent1" w:themeFillShade="80"/>
            <w:vAlign w:val="center"/>
            <w:hideMark/>
          </w:tcPr>
          <w:p w14:paraId="300A7600" w14:textId="77777777" w:rsidR="00B170CC" w:rsidRPr="000A1E2F" w:rsidRDefault="00B170CC" w:rsidP="009E62B4">
            <w:pPr>
              <w:ind w:left="175" w:right="1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26A0D505" w:rsidR="00B170CC" w:rsidRPr="000A1E2F" w:rsidRDefault="00B170CC" w:rsidP="009E62B4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1924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29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6E4F67FB" w:rsidR="00B170CC" w:rsidRPr="000A1E2F" w:rsidRDefault="00B170CC" w:rsidP="009E62B4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1924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 w:themeFill="accent1" w:themeFillShade="80"/>
            <w:vAlign w:val="center"/>
          </w:tcPr>
          <w:p w14:paraId="0F94D0A4" w14:textId="77777777" w:rsidR="00B170CC" w:rsidRPr="000A1E2F" w:rsidRDefault="00B170CC" w:rsidP="009E62B4">
            <w:pPr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1924E5" w:rsidRPr="000A1E2F" w14:paraId="20306320" w14:textId="77777777" w:rsidTr="00370811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EB4AB" w14:textId="4FDAA262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5F808" w14:textId="060AE877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94B08" w14:textId="63136CBB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1924E5" w:rsidRPr="000A1E2F" w14:paraId="476C4D87" w14:textId="77777777" w:rsidTr="001924E5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E16B9" w14:textId="43B99752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AADAC" w14:textId="072449C1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9A559A1" w14:textId="00EE612C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-6.0%</w:t>
            </w:r>
          </w:p>
        </w:tc>
      </w:tr>
      <w:tr w:rsidR="001924E5" w:rsidRPr="000A1E2F" w14:paraId="7C64D003" w14:textId="77777777" w:rsidTr="00370811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1EC73" w14:textId="66B660C7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8E35F" w14:textId="3E02AE49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7AD6B" w14:textId="75856F86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13.4%</w:t>
            </w:r>
          </w:p>
        </w:tc>
      </w:tr>
      <w:tr w:rsidR="001924E5" w:rsidRPr="000A1E2F" w14:paraId="73B88858" w14:textId="77777777" w:rsidTr="001924E5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56538" w14:textId="78A89D6F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8DCFA" w14:textId="3251F900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A622F2D" w14:textId="24596A20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-8.6%</w:t>
            </w:r>
          </w:p>
        </w:tc>
      </w:tr>
      <w:tr w:rsidR="001924E5" w:rsidRPr="000A1E2F" w14:paraId="29367927" w14:textId="77777777" w:rsidTr="00370811">
        <w:trPr>
          <w:trHeight w:val="288"/>
        </w:trPr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0E7A" w14:textId="3014AD94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451F" w14:textId="40B9ED88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79831" w14:textId="4F76F432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</w:tr>
      <w:tr w:rsidR="001924E5" w:rsidRPr="000A1E2F" w14:paraId="0DD73203" w14:textId="77777777" w:rsidTr="009E62B4">
        <w:trPr>
          <w:trHeight w:val="8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4E5" w:rsidRPr="000A1E2F" w14:paraId="4DB026E3" w14:textId="77777777" w:rsidTr="00370811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FAEF8" w14:textId="378395A0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84B77" w14:textId="52E5540B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F94E" w14:textId="280A72A8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-9.8%</w:t>
            </w:r>
          </w:p>
        </w:tc>
      </w:tr>
      <w:tr w:rsidR="001924E5" w:rsidRPr="000A1E2F" w14:paraId="509D9972" w14:textId="77777777" w:rsidTr="001924E5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53A21" w14:textId="4E9F4AF2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3D4D7" w14:textId="51BA5882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D18EF35" w14:textId="295A0F59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-3.0%</w:t>
            </w:r>
          </w:p>
        </w:tc>
      </w:tr>
      <w:tr w:rsidR="001924E5" w:rsidRPr="000A1E2F" w14:paraId="42ECBD06" w14:textId="77777777" w:rsidTr="00370811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7C07F" w14:textId="7B1B30B0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0A580" w14:textId="5D34B222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9DF6A" w14:textId="7E34F6A2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-0.8%</w:t>
            </w:r>
          </w:p>
        </w:tc>
      </w:tr>
      <w:tr w:rsidR="001924E5" w:rsidRPr="000A1E2F" w14:paraId="122A5C4D" w14:textId="77777777" w:rsidTr="001924E5">
        <w:trPr>
          <w:trHeight w:val="288"/>
        </w:trPr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1924E5" w:rsidRPr="000A1E2F" w:rsidRDefault="001924E5" w:rsidP="001924E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AC24" w14:textId="3B14BEBC" w:rsidR="001924E5" w:rsidRPr="000A1E2F" w:rsidRDefault="001924E5" w:rsidP="001924E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CA0E" w14:textId="02503037" w:rsidR="001924E5" w:rsidRPr="000A1E2F" w:rsidRDefault="001924E5" w:rsidP="001924E5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6BF40EC" w14:textId="606D081E" w:rsidR="001924E5" w:rsidRPr="000A1E2F" w:rsidRDefault="001924E5" w:rsidP="001924E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1.1%</w:t>
            </w:r>
          </w:p>
        </w:tc>
      </w:tr>
      <w:tr w:rsidR="00B170CC" w:rsidRPr="000A1E2F" w14:paraId="3D026617" w14:textId="77777777" w:rsidTr="009E62B4">
        <w:trPr>
          <w:trHeight w:val="15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C325" w14:textId="77777777" w:rsidR="00B170CC" w:rsidRPr="004F022E" w:rsidRDefault="00B170CC" w:rsidP="009E62B4">
            <w:pPr>
              <w:spacing w:line="252" w:lineRule="auto"/>
              <w:ind w:right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0CC" w:rsidRPr="000A1E2F" w14:paraId="224CB845" w14:textId="77777777" w:rsidTr="009E62B4">
        <w:trPr>
          <w:trHeight w:val="36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5FBE" w14:textId="7C51A31A" w:rsidR="00B170CC" w:rsidRPr="000A1E2F" w:rsidRDefault="006D4C10" w:rsidP="009E62B4">
            <w:pPr>
              <w:spacing w:line="252" w:lineRule="auto"/>
              <w:ind w:left="-105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D4C1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Quarter</w:t>
            </w:r>
            <w:r w:rsidR="00B170CC" w:rsidRPr="000A1E2F">
              <w:rPr>
                <w:rFonts w:ascii="Arial" w:hAnsi="Arial" w:cs="Arial"/>
                <w:b/>
                <w:sz w:val="20"/>
                <w:szCs w:val="20"/>
              </w:rPr>
              <w:t xml:space="preserve"> Sales</w:t>
            </w:r>
            <w:r w:rsidR="00B170CC" w:rsidRPr="000A1E2F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B170CC" w:rsidRPr="000A1E2F" w14:paraId="2B85D657" w14:textId="77777777" w:rsidTr="009E62B4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E40A" w14:textId="77777777" w:rsidR="00B170CC" w:rsidRPr="000A1E2F" w:rsidRDefault="00B170CC" w:rsidP="009E62B4">
            <w:pPr>
              <w:spacing w:line="252" w:lineRule="auto"/>
              <w:ind w:left="62" w:righ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E2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3D95" w14:textId="104D1364" w:rsidR="00B170CC" w:rsidRPr="000A1E2F" w:rsidRDefault="00B170CC" w:rsidP="009E62B4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1924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50FA" w14:textId="704C33AE" w:rsidR="00B170CC" w:rsidRPr="000A1E2F" w:rsidRDefault="00B170CC" w:rsidP="009E62B4">
            <w:pPr>
              <w:spacing w:line="252" w:lineRule="auto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1924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1F4E79" w:themeFill="accent1" w:themeFillShade="80"/>
            <w:vAlign w:val="center"/>
          </w:tcPr>
          <w:p w14:paraId="3314441D" w14:textId="77777777" w:rsidR="00B170CC" w:rsidRPr="000A1E2F" w:rsidRDefault="00B170CC" w:rsidP="009E62B4">
            <w:pPr>
              <w:spacing w:line="252" w:lineRule="auto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93491" w:rsidRPr="000A1E2F" w14:paraId="6D4A8DB7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9E39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C9A5" w14:textId="3494CAE3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2,402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B015" w14:textId="489A5B69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2,543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1FA41" w14:textId="11016778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5.9%</w:t>
            </w:r>
          </w:p>
        </w:tc>
      </w:tr>
      <w:tr w:rsidR="00E93491" w:rsidRPr="000A1E2F" w14:paraId="3CCC6BAF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9A4B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0FFC" w14:textId="3F0C1972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940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D6C5" w14:textId="7A87D8C0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CABFB17" w14:textId="52B41749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-7.6%</w:t>
            </w:r>
          </w:p>
        </w:tc>
      </w:tr>
      <w:tr w:rsidR="00E93491" w:rsidRPr="000A1E2F" w14:paraId="346EA0A9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F99C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91C4" w14:textId="0869A89B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348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D99A" w14:textId="40E44BDF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7DB22" w14:textId="4D9529A6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-2.6%</w:t>
            </w:r>
          </w:p>
        </w:tc>
      </w:tr>
      <w:tr w:rsidR="00E93491" w:rsidRPr="000A1E2F" w14:paraId="169D5013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5029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E36C" w14:textId="34A7DEE1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243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9EB8" w14:textId="49BAA34E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B07D5AF" w14:textId="61F8F16A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7.8%</w:t>
            </w:r>
          </w:p>
        </w:tc>
      </w:tr>
      <w:tr w:rsidR="00E93491" w:rsidRPr="000A1E2F" w14:paraId="4EEDD1AA" w14:textId="77777777" w:rsidTr="00B37D1D">
        <w:trPr>
          <w:trHeight w:val="288"/>
        </w:trPr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B6E7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9921" w14:textId="41838296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3,933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5F53" w14:textId="3937F4D9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4,013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EF947" w14:textId="7BEAF1B5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2.0%</w:t>
            </w:r>
          </w:p>
        </w:tc>
      </w:tr>
      <w:tr w:rsidR="00E93491" w:rsidRPr="000A1E2F" w14:paraId="22A1A82E" w14:textId="77777777" w:rsidTr="009E62B4">
        <w:trPr>
          <w:trHeight w:val="8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3B6E" w14:textId="77777777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93491" w:rsidRPr="000A1E2F" w14:paraId="0163DC89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AF8C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6899" w14:textId="7CE8378E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601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8E26" w14:textId="1A5342E8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3161B" w14:textId="6A36199C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0.2%</w:t>
            </w:r>
          </w:p>
        </w:tc>
      </w:tr>
      <w:tr w:rsidR="00E93491" w:rsidRPr="000A1E2F" w14:paraId="5B407CBC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1543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8C99" w14:textId="5658094B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463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A61F" w14:textId="06914E95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437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743B340" w14:textId="4AFB5053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-5.6%</w:t>
            </w:r>
          </w:p>
        </w:tc>
      </w:tr>
      <w:tr w:rsidR="00E93491" w:rsidRPr="000A1E2F" w14:paraId="2FA23A80" w14:textId="77777777" w:rsidTr="00B37D1D">
        <w:trPr>
          <w:trHeight w:val="288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1402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7727" w14:textId="4E4C6EED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346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F89F" w14:textId="24ABDA22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338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C35A" w14:textId="6B0F015A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-2.3%</w:t>
            </w:r>
          </w:p>
        </w:tc>
      </w:tr>
      <w:tr w:rsidR="00E93491" w:rsidRPr="000A1E2F" w14:paraId="15B6C36F" w14:textId="77777777" w:rsidTr="00B37D1D">
        <w:trPr>
          <w:trHeight w:val="288"/>
        </w:trPr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FC11" w14:textId="77777777" w:rsidR="00E93491" w:rsidRPr="000A1E2F" w:rsidRDefault="00E93491" w:rsidP="00E9349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0187" w14:textId="3F31D28D" w:rsidR="00E93491" w:rsidRPr="000A1E2F" w:rsidRDefault="00E93491" w:rsidP="00E9349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5,343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5A82" w14:textId="13560512" w:rsidR="00E93491" w:rsidRPr="000A1E2F" w:rsidRDefault="00E93491" w:rsidP="00E93491">
            <w:pPr>
              <w:spacing w:line="252" w:lineRule="auto"/>
              <w:ind w:right="-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5,390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C64E520" w14:textId="2277B7F9" w:rsidR="00E93491" w:rsidRPr="000A1E2F" w:rsidRDefault="00E93491" w:rsidP="00E9349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BB3">
              <w:t>0.9%</w:t>
            </w:r>
          </w:p>
        </w:tc>
      </w:tr>
    </w:tbl>
    <w:p w14:paraId="7F2D578B" w14:textId="4F069DA0" w:rsidR="00E913B2" w:rsidRPr="000A1E2F" w:rsidRDefault="00E913B2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0A1E2F">
        <w:rPr>
          <w:rFonts w:ascii="Arial" w:hAnsi="Arial" w:cs="Arial"/>
          <w:b/>
          <w:bCs/>
          <w:sz w:val="21"/>
          <w:szCs w:val="21"/>
          <w:u w:val="single"/>
        </w:rPr>
        <w:t>Market Summary</w:t>
      </w:r>
    </w:p>
    <w:p w14:paraId="695CB173" w14:textId="15B3E2DE" w:rsidR="00327373" w:rsidRDefault="00327373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On the heels of a strong March, home sales in </w:t>
      </w:r>
      <w:r w:rsidR="00376618">
        <w:rPr>
          <w:rFonts w:ascii="Arial" w:hAnsi="Arial" w:cs="Arial"/>
          <w:sz w:val="21"/>
          <w:szCs w:val="21"/>
        </w:rPr>
        <w:t>t</w:t>
      </w:r>
      <w:r w:rsidR="00E913B2" w:rsidRPr="000A1E2F">
        <w:rPr>
          <w:rFonts w:ascii="Arial" w:hAnsi="Arial" w:cs="Arial"/>
          <w:sz w:val="21"/>
          <w:szCs w:val="21"/>
        </w:rPr>
        <w:t xml:space="preserve">he Metropolitan Milwaukee real estate market </w:t>
      </w:r>
      <w:r>
        <w:rPr>
          <w:rFonts w:ascii="Arial" w:hAnsi="Arial" w:cs="Arial"/>
          <w:sz w:val="21"/>
          <w:szCs w:val="21"/>
        </w:rPr>
        <w:t xml:space="preserve">were up 2% for the </w:t>
      </w:r>
      <w:r w:rsidR="001874CC">
        <w:rPr>
          <w:rFonts w:ascii="Arial" w:hAnsi="Arial" w:cs="Arial"/>
          <w:sz w:val="21"/>
          <w:szCs w:val="21"/>
        </w:rPr>
        <w:t>first</w:t>
      </w:r>
      <w:r>
        <w:rPr>
          <w:rFonts w:ascii="Arial" w:hAnsi="Arial" w:cs="Arial"/>
          <w:sz w:val="21"/>
          <w:szCs w:val="21"/>
        </w:rPr>
        <w:t xml:space="preserve"> quarter of 2022. </w:t>
      </w:r>
    </w:p>
    <w:p w14:paraId="311319D8" w14:textId="77777777" w:rsidR="00AD1D58" w:rsidRDefault="00AD1D58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5048DFC0" w14:textId="0C5ABED0" w:rsidR="001874CC" w:rsidRDefault="001874CC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</w:t>
      </w:r>
      <w:r w:rsidR="000B67F7">
        <w:rPr>
          <w:rFonts w:ascii="Arial" w:hAnsi="Arial" w:cs="Arial"/>
          <w:sz w:val="21"/>
          <w:szCs w:val="21"/>
        </w:rPr>
        <w:t>first</w:t>
      </w:r>
      <w:r>
        <w:rPr>
          <w:rFonts w:ascii="Arial" w:hAnsi="Arial" w:cs="Arial"/>
          <w:sz w:val="21"/>
          <w:szCs w:val="21"/>
        </w:rPr>
        <w:t xml:space="preserve"> quarter was </w:t>
      </w:r>
      <w:proofErr w:type="gramStart"/>
      <w:r>
        <w:rPr>
          <w:rFonts w:ascii="Arial" w:hAnsi="Arial" w:cs="Arial"/>
          <w:sz w:val="21"/>
          <w:szCs w:val="21"/>
        </w:rPr>
        <w:t>80</w:t>
      </w:r>
      <w:proofErr w:type="gramEnd"/>
      <w:r>
        <w:rPr>
          <w:rFonts w:ascii="Arial" w:hAnsi="Arial" w:cs="Arial"/>
          <w:sz w:val="21"/>
          <w:szCs w:val="21"/>
        </w:rPr>
        <w:t xml:space="preserve"> units ahead of the same time in 2021</w:t>
      </w:r>
      <w:r w:rsidR="00DA4294">
        <w:rPr>
          <w:rFonts w:ascii="Arial" w:hAnsi="Arial" w:cs="Arial"/>
          <w:sz w:val="21"/>
          <w:szCs w:val="21"/>
        </w:rPr>
        <w:t>, which was the beginning of an historic year.</w:t>
      </w:r>
    </w:p>
    <w:p w14:paraId="766402BC" w14:textId="77777777" w:rsidR="00AD1D58" w:rsidRDefault="00AD1D58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697C9F14" w14:textId="3D104BD4" w:rsidR="000B2C07" w:rsidRDefault="000B2C07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At the same time, the four county market </w:t>
      </w:r>
      <w:r w:rsidR="008B71BB">
        <w:rPr>
          <w:rFonts w:ascii="Arial" w:hAnsi="Arial" w:cs="Arial"/>
          <w:sz w:val="21"/>
          <w:szCs w:val="21"/>
        </w:rPr>
        <w:t>saw a decrease in listings of</w:t>
      </w:r>
      <w:r>
        <w:rPr>
          <w:rFonts w:ascii="Arial" w:hAnsi="Arial" w:cs="Arial"/>
          <w:sz w:val="21"/>
          <w:szCs w:val="21"/>
        </w:rPr>
        <w:t xml:space="preserve"> 12.1% in March, and 0.4% through the </w:t>
      </w:r>
      <w:proofErr w:type="gramStart"/>
      <w:r>
        <w:rPr>
          <w:rFonts w:ascii="Arial" w:hAnsi="Arial" w:cs="Arial"/>
          <w:sz w:val="21"/>
          <w:szCs w:val="21"/>
        </w:rPr>
        <w:t>1</w:t>
      </w:r>
      <w:r w:rsidRPr="000B2C07">
        <w:rPr>
          <w:rFonts w:ascii="Arial" w:hAnsi="Arial" w:cs="Arial"/>
          <w:sz w:val="21"/>
          <w:szCs w:val="21"/>
          <w:vertAlign w:val="superscript"/>
        </w:rPr>
        <w:t>st</w:t>
      </w:r>
      <w:proofErr w:type="gramEnd"/>
      <w:r>
        <w:rPr>
          <w:rFonts w:ascii="Arial" w:hAnsi="Arial" w:cs="Arial"/>
          <w:sz w:val="21"/>
          <w:szCs w:val="21"/>
        </w:rPr>
        <w:t xml:space="preserve"> quarter.</w:t>
      </w:r>
    </w:p>
    <w:p w14:paraId="1F0D2B4C" w14:textId="6CF98FD8" w:rsidR="00C10C2A" w:rsidRDefault="00C10C2A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34E8C052" w14:textId="496679C2" w:rsidR="00C10C2A" w:rsidRDefault="00C10C2A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Whenever demand outpaces supply, prices go up. And prices did </w:t>
      </w:r>
      <w:r w:rsidR="000B67F7">
        <w:rPr>
          <w:rFonts w:ascii="Arial" w:hAnsi="Arial" w:cs="Arial"/>
          <w:sz w:val="21"/>
          <w:szCs w:val="21"/>
        </w:rPr>
        <w:t xml:space="preserve">indeed </w:t>
      </w:r>
      <w:r>
        <w:rPr>
          <w:rFonts w:ascii="Arial" w:hAnsi="Arial" w:cs="Arial"/>
          <w:sz w:val="21"/>
          <w:szCs w:val="21"/>
        </w:rPr>
        <w:t>increase</w:t>
      </w:r>
      <w:r w:rsidR="000B67F7">
        <w:rPr>
          <w:rFonts w:ascii="Arial" w:hAnsi="Arial" w:cs="Arial"/>
          <w:sz w:val="21"/>
          <w:szCs w:val="21"/>
        </w:rPr>
        <w:t xml:space="preserve"> during the </w:t>
      </w:r>
      <w:proofErr w:type="gramStart"/>
      <w:r w:rsidR="000B67F7">
        <w:rPr>
          <w:rFonts w:ascii="Arial" w:hAnsi="Arial" w:cs="Arial"/>
          <w:sz w:val="21"/>
          <w:szCs w:val="21"/>
        </w:rPr>
        <w:t>1</w:t>
      </w:r>
      <w:r w:rsidR="000B67F7" w:rsidRPr="000B67F7">
        <w:rPr>
          <w:rFonts w:ascii="Arial" w:hAnsi="Arial" w:cs="Arial"/>
          <w:sz w:val="21"/>
          <w:szCs w:val="21"/>
          <w:vertAlign w:val="superscript"/>
        </w:rPr>
        <w:t>st</w:t>
      </w:r>
      <w:proofErr w:type="gramEnd"/>
      <w:r w:rsidR="000B67F7">
        <w:rPr>
          <w:rFonts w:ascii="Arial" w:hAnsi="Arial" w:cs="Arial"/>
          <w:sz w:val="21"/>
          <w:szCs w:val="21"/>
        </w:rPr>
        <w:t xml:space="preserve"> quarter,</w:t>
      </w:r>
      <w:r>
        <w:rPr>
          <w:rFonts w:ascii="Arial" w:hAnsi="Arial" w:cs="Arial"/>
          <w:sz w:val="21"/>
          <w:szCs w:val="21"/>
        </w:rPr>
        <w:t xml:space="preserve"> 9.5% in in the 4 county area, and 10.8% in </w:t>
      </w:r>
      <w:r w:rsidR="000B67F7">
        <w:rPr>
          <w:rFonts w:ascii="Arial" w:hAnsi="Arial" w:cs="Arial"/>
          <w:sz w:val="21"/>
          <w:szCs w:val="21"/>
        </w:rPr>
        <w:t xml:space="preserve">the 7 counties of </w:t>
      </w:r>
      <w:r w:rsidR="00634BCB">
        <w:rPr>
          <w:rFonts w:ascii="Arial" w:hAnsi="Arial" w:cs="Arial"/>
          <w:sz w:val="21"/>
          <w:szCs w:val="21"/>
        </w:rPr>
        <w:t>S</w:t>
      </w:r>
      <w:r w:rsidR="003A5A38">
        <w:rPr>
          <w:rFonts w:ascii="Arial" w:hAnsi="Arial" w:cs="Arial"/>
          <w:sz w:val="21"/>
          <w:szCs w:val="21"/>
        </w:rPr>
        <w:t xml:space="preserve">outheastern Wisconsin. </w:t>
      </w:r>
    </w:p>
    <w:p w14:paraId="4457CF06" w14:textId="77777777" w:rsidR="000B2C07" w:rsidRDefault="000B2C07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5CDCD1A3" w14:textId="52C3E589" w:rsidR="00376618" w:rsidRDefault="00C1360F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While a lack of available listings for buyers and bleak new construction numbers have been regular headwinds in recent years, there are new forces impacting the macro-economy</w:t>
      </w:r>
      <w:r w:rsidR="00413F4A">
        <w:rPr>
          <w:rFonts w:ascii="Arial" w:hAnsi="Arial" w:cs="Arial"/>
          <w:sz w:val="21"/>
          <w:szCs w:val="21"/>
        </w:rPr>
        <w:t xml:space="preserve"> that may affect the housing market</w:t>
      </w:r>
      <w:r w:rsidR="000B67F7">
        <w:rPr>
          <w:rFonts w:ascii="Arial" w:hAnsi="Arial" w:cs="Arial"/>
          <w:sz w:val="21"/>
          <w:szCs w:val="21"/>
        </w:rPr>
        <w:t xml:space="preserve"> here</w:t>
      </w:r>
      <w:r w:rsidR="00413F4A">
        <w:rPr>
          <w:rFonts w:ascii="Arial" w:hAnsi="Arial" w:cs="Arial"/>
          <w:sz w:val="21"/>
          <w:szCs w:val="21"/>
        </w:rPr>
        <w:t xml:space="preserve">. </w:t>
      </w:r>
    </w:p>
    <w:p w14:paraId="7E1A7101" w14:textId="77777777" w:rsidR="00A73F2D" w:rsidRPr="000A1E2F" w:rsidRDefault="00A73F2D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1F426D6F" w14:textId="51F876B5" w:rsidR="008C2899" w:rsidRDefault="00050D8C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war in Ukraine, s</w:t>
      </w:r>
      <w:r w:rsidR="00413F4A">
        <w:rPr>
          <w:rFonts w:ascii="Arial" w:hAnsi="Arial" w:cs="Arial"/>
          <w:sz w:val="21"/>
          <w:szCs w:val="21"/>
        </w:rPr>
        <w:t>upply chain problems, inflation</w:t>
      </w:r>
      <w:r w:rsidR="008C2899">
        <w:rPr>
          <w:rFonts w:ascii="Arial" w:hAnsi="Arial" w:cs="Arial"/>
          <w:sz w:val="21"/>
          <w:szCs w:val="21"/>
        </w:rPr>
        <w:t>,</w:t>
      </w:r>
      <w:r w:rsidR="00413F4A">
        <w:rPr>
          <w:rFonts w:ascii="Arial" w:hAnsi="Arial" w:cs="Arial"/>
          <w:sz w:val="21"/>
          <w:szCs w:val="21"/>
        </w:rPr>
        <w:t xml:space="preserve"> </w:t>
      </w:r>
      <w:r w:rsidR="008C2899">
        <w:rPr>
          <w:rFonts w:ascii="Arial" w:hAnsi="Arial" w:cs="Arial"/>
          <w:sz w:val="21"/>
          <w:szCs w:val="21"/>
        </w:rPr>
        <w:t xml:space="preserve">the Federal Reserve increasing </w:t>
      </w:r>
      <w:r w:rsidR="00413F4A">
        <w:rPr>
          <w:rFonts w:ascii="Arial" w:hAnsi="Arial" w:cs="Arial"/>
          <w:sz w:val="21"/>
          <w:szCs w:val="21"/>
        </w:rPr>
        <w:t>interest rates</w:t>
      </w:r>
      <w:r w:rsidR="008C2899">
        <w:rPr>
          <w:rFonts w:ascii="Arial" w:hAnsi="Arial" w:cs="Arial"/>
          <w:sz w:val="21"/>
          <w:szCs w:val="21"/>
        </w:rPr>
        <w:t xml:space="preserve">, and </w:t>
      </w:r>
      <w:r>
        <w:rPr>
          <w:rFonts w:ascii="Arial" w:hAnsi="Arial" w:cs="Arial"/>
          <w:sz w:val="21"/>
          <w:szCs w:val="21"/>
        </w:rPr>
        <w:t xml:space="preserve">rising </w:t>
      </w:r>
      <w:r w:rsidR="008C2899">
        <w:rPr>
          <w:rFonts w:ascii="Arial" w:hAnsi="Arial" w:cs="Arial"/>
          <w:sz w:val="21"/>
          <w:szCs w:val="21"/>
        </w:rPr>
        <w:t xml:space="preserve">mortgage rates </w:t>
      </w:r>
      <w:r>
        <w:rPr>
          <w:rFonts w:ascii="Arial" w:hAnsi="Arial" w:cs="Arial"/>
          <w:sz w:val="21"/>
          <w:szCs w:val="21"/>
        </w:rPr>
        <w:t>may</w:t>
      </w:r>
      <w:r w:rsidR="008C2899">
        <w:rPr>
          <w:rFonts w:ascii="Arial" w:hAnsi="Arial" w:cs="Arial"/>
          <w:sz w:val="21"/>
          <w:szCs w:val="21"/>
        </w:rPr>
        <w:t xml:space="preserve"> throw </w:t>
      </w:r>
      <w:r w:rsidR="000B67F7">
        <w:rPr>
          <w:rFonts w:ascii="Arial" w:hAnsi="Arial" w:cs="Arial"/>
          <w:sz w:val="21"/>
          <w:szCs w:val="21"/>
        </w:rPr>
        <w:t xml:space="preserve">ambiguity </w:t>
      </w:r>
      <w:r w:rsidR="008C2899">
        <w:rPr>
          <w:rFonts w:ascii="Arial" w:hAnsi="Arial" w:cs="Arial"/>
          <w:sz w:val="21"/>
          <w:szCs w:val="21"/>
        </w:rPr>
        <w:t xml:space="preserve">into the market. </w:t>
      </w:r>
    </w:p>
    <w:p w14:paraId="69AD47FA" w14:textId="72A21526" w:rsidR="00A30F7F" w:rsidRDefault="00A30F7F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78C1E6EA" w14:textId="52785526" w:rsidR="008C2899" w:rsidRDefault="00050D8C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However, buyers and sellers should rest assured that</w:t>
      </w:r>
      <w:r w:rsidR="008C2899">
        <w:rPr>
          <w:rFonts w:ascii="Arial" w:hAnsi="Arial" w:cs="Arial"/>
          <w:sz w:val="21"/>
          <w:szCs w:val="21"/>
        </w:rPr>
        <w:t xml:space="preserve"> </w:t>
      </w:r>
      <w:r w:rsidR="008C2899" w:rsidRPr="00917850">
        <w:rPr>
          <w:rFonts w:ascii="Arial" w:hAnsi="Arial" w:cs="Arial"/>
          <w:b/>
          <w:bCs/>
          <w:sz w:val="21"/>
          <w:szCs w:val="21"/>
        </w:rPr>
        <w:t>there is</w:t>
      </w:r>
      <w:r w:rsidR="008C2899">
        <w:rPr>
          <w:rFonts w:ascii="Arial" w:hAnsi="Arial" w:cs="Arial"/>
          <w:sz w:val="21"/>
          <w:szCs w:val="21"/>
        </w:rPr>
        <w:t xml:space="preserve"> </w:t>
      </w:r>
      <w:r w:rsidR="008C2899" w:rsidRPr="006A29CF">
        <w:rPr>
          <w:rFonts w:ascii="Arial" w:hAnsi="Arial" w:cs="Arial"/>
          <w:b/>
          <w:bCs/>
          <w:sz w:val="21"/>
          <w:szCs w:val="21"/>
        </w:rPr>
        <w:t>no sign of a housing bubble</w:t>
      </w:r>
      <w:r w:rsidR="008C2899">
        <w:rPr>
          <w:rFonts w:ascii="Arial" w:hAnsi="Arial" w:cs="Arial"/>
          <w:sz w:val="21"/>
          <w:szCs w:val="21"/>
        </w:rPr>
        <w:t xml:space="preserve"> in the </w:t>
      </w:r>
      <w:r w:rsidR="000B67F7">
        <w:rPr>
          <w:rFonts w:ascii="Arial" w:hAnsi="Arial" w:cs="Arial"/>
          <w:sz w:val="21"/>
          <w:szCs w:val="21"/>
        </w:rPr>
        <w:t xml:space="preserve">real estate </w:t>
      </w:r>
      <w:r w:rsidR="008C2899">
        <w:rPr>
          <w:rFonts w:ascii="Arial" w:hAnsi="Arial" w:cs="Arial"/>
          <w:sz w:val="21"/>
          <w:szCs w:val="21"/>
        </w:rPr>
        <w:t xml:space="preserve">market. There are no </w:t>
      </w:r>
      <w:r>
        <w:rPr>
          <w:rFonts w:ascii="Arial" w:hAnsi="Arial" w:cs="Arial"/>
          <w:sz w:val="21"/>
          <w:szCs w:val="21"/>
        </w:rPr>
        <w:t xml:space="preserve">valid </w:t>
      </w:r>
      <w:r w:rsidR="008C2899">
        <w:rPr>
          <w:rFonts w:ascii="Arial" w:hAnsi="Arial" w:cs="Arial"/>
          <w:sz w:val="21"/>
          <w:szCs w:val="21"/>
        </w:rPr>
        <w:t xml:space="preserve">comparisons between increasing prices in today’s market and the out-of-control, </w:t>
      </w:r>
      <w:r w:rsidR="006A29CF">
        <w:rPr>
          <w:rFonts w:ascii="Arial" w:hAnsi="Arial" w:cs="Arial"/>
          <w:sz w:val="21"/>
          <w:szCs w:val="21"/>
        </w:rPr>
        <w:t xml:space="preserve">speculative, </w:t>
      </w:r>
      <w:r w:rsidR="008C2899">
        <w:rPr>
          <w:rFonts w:ascii="Arial" w:hAnsi="Arial" w:cs="Arial"/>
          <w:sz w:val="21"/>
          <w:szCs w:val="21"/>
        </w:rPr>
        <w:t xml:space="preserve">credit-fueled </w:t>
      </w:r>
      <w:r>
        <w:rPr>
          <w:rFonts w:ascii="Arial" w:hAnsi="Arial" w:cs="Arial"/>
          <w:sz w:val="21"/>
          <w:szCs w:val="21"/>
        </w:rPr>
        <w:t xml:space="preserve">housing crash of 2008. </w:t>
      </w:r>
    </w:p>
    <w:tbl>
      <w:tblPr>
        <w:tblpPr w:leftFromText="360" w:rightFromText="187" w:bottomFromText="274" w:vertAnchor="text" w:horzAnchor="margin" w:tblpXSpec="right" w:tblpY="159"/>
        <w:tblW w:w="4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29"/>
        <w:gridCol w:w="929"/>
        <w:gridCol w:w="1069"/>
      </w:tblGrid>
      <w:tr w:rsidR="00F35608" w:rsidRPr="000A1E2F" w14:paraId="6B82E1F9" w14:textId="77777777" w:rsidTr="00F71BBF">
        <w:trPr>
          <w:trHeight w:val="288"/>
        </w:trPr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1F06" w14:textId="7DFE05E1" w:rsidR="00F35608" w:rsidRPr="000A1E2F" w:rsidRDefault="006D4C10" w:rsidP="00F71BBF">
            <w:pPr>
              <w:ind w:left="-30" w:right="75" w:hanging="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F35608" w:rsidRPr="000A1E2F">
              <w:rPr>
                <w:rFonts w:ascii="Arial" w:hAnsi="Arial" w:cs="Arial"/>
                <w:b/>
                <w:sz w:val="20"/>
                <w:szCs w:val="20"/>
              </w:rPr>
              <w:t xml:space="preserve"> Listings</w:t>
            </w:r>
          </w:p>
        </w:tc>
      </w:tr>
      <w:tr w:rsidR="00F35608" w:rsidRPr="000A1E2F" w14:paraId="39667B19" w14:textId="77777777" w:rsidTr="00F71BBF">
        <w:trPr>
          <w:trHeight w:val="288"/>
        </w:trPr>
        <w:tc>
          <w:tcPr>
            <w:tcW w:w="1440" w:type="dxa"/>
            <w:tcBorders>
              <w:top w:val="single" w:sz="12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1F4E79" w:themeFill="accent1" w:themeFillShade="80"/>
            <w:vAlign w:val="center"/>
            <w:hideMark/>
          </w:tcPr>
          <w:p w14:paraId="17240186" w14:textId="77777777" w:rsidR="00F35608" w:rsidRPr="00256F5E" w:rsidRDefault="00F35608" w:rsidP="00F71BBF">
            <w:pPr>
              <w:ind w:left="-30" w:right="75" w:hanging="15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256F5E">
              <w:rPr>
                <w:rFonts w:cstheme="minorHAnsi"/>
                <w:b/>
                <w:color w:val="FFFFFF" w:themeColor="background1"/>
              </w:rPr>
              <w:t>County</w:t>
            </w:r>
          </w:p>
        </w:tc>
        <w:tc>
          <w:tcPr>
            <w:tcW w:w="9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3317" w14:textId="3B855554" w:rsidR="00F35608" w:rsidRPr="00256F5E" w:rsidRDefault="00F35608" w:rsidP="001924E5">
            <w:pPr>
              <w:ind w:left="-30" w:right="-75" w:hanging="15"/>
              <w:jc w:val="center"/>
              <w:rPr>
                <w:rFonts w:cstheme="minorHAnsi"/>
                <w:color w:val="FFFFFF" w:themeColor="background1"/>
              </w:rPr>
            </w:pPr>
            <w:r w:rsidRPr="00256F5E">
              <w:rPr>
                <w:rFonts w:cstheme="minorHAnsi"/>
                <w:color w:val="FFFFFF" w:themeColor="background1"/>
              </w:rPr>
              <w:t>202</w:t>
            </w:r>
            <w:r w:rsidR="001924E5">
              <w:rPr>
                <w:rFonts w:cstheme="minorHAnsi"/>
                <w:color w:val="FFFFFF" w:themeColor="background1"/>
              </w:rPr>
              <w:t>1</w:t>
            </w:r>
          </w:p>
        </w:tc>
        <w:tc>
          <w:tcPr>
            <w:tcW w:w="9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E926" w14:textId="51F86FC1" w:rsidR="00F35608" w:rsidRPr="00256F5E" w:rsidRDefault="00F35608" w:rsidP="00F71BBF">
            <w:pPr>
              <w:ind w:left="-30" w:right="75" w:hanging="15"/>
              <w:jc w:val="center"/>
              <w:rPr>
                <w:rFonts w:cstheme="minorHAnsi"/>
                <w:color w:val="FFFFFF" w:themeColor="background1"/>
              </w:rPr>
            </w:pPr>
            <w:r w:rsidRPr="00256F5E">
              <w:rPr>
                <w:rFonts w:cstheme="minorHAnsi"/>
                <w:color w:val="FFFFFF" w:themeColor="background1"/>
              </w:rPr>
              <w:t>202</w:t>
            </w:r>
            <w:r w:rsidR="001924E5">
              <w:rPr>
                <w:rFonts w:cstheme="minorHAnsi"/>
                <w:color w:val="FFFFFF" w:themeColor="background1"/>
              </w:rPr>
              <w:t>2</w:t>
            </w:r>
          </w:p>
        </w:tc>
        <w:tc>
          <w:tcPr>
            <w:tcW w:w="1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</w:tcBorders>
            <w:shd w:val="clear" w:color="auto" w:fill="1F4E79" w:themeFill="accent1" w:themeFillShade="80"/>
            <w:vAlign w:val="center"/>
          </w:tcPr>
          <w:p w14:paraId="7AD430F1" w14:textId="77777777" w:rsidR="00F35608" w:rsidRPr="00256F5E" w:rsidRDefault="00F35608" w:rsidP="00F71BBF">
            <w:pPr>
              <w:ind w:left="-30" w:right="75" w:hanging="15"/>
              <w:jc w:val="right"/>
              <w:rPr>
                <w:rFonts w:cstheme="minorHAnsi"/>
                <w:color w:val="FFFFFF" w:themeColor="background1"/>
              </w:rPr>
            </w:pPr>
            <w:r w:rsidRPr="00256F5E">
              <w:rPr>
                <w:rFonts w:cstheme="minorHAnsi"/>
                <w:color w:val="FFFFFF" w:themeColor="background1"/>
              </w:rPr>
              <w:t>% Change</w:t>
            </w:r>
          </w:p>
        </w:tc>
      </w:tr>
      <w:tr w:rsidR="001924E5" w:rsidRPr="000A1E2F" w14:paraId="4D5F87B7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3724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1760" w14:textId="47051ED8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1307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99AA" w14:textId="1C0399C1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1155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DD5CB" w14:textId="772DF94C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-11.6%</w:t>
            </w:r>
          </w:p>
        </w:tc>
      </w:tr>
      <w:tr w:rsidR="001924E5" w:rsidRPr="000A1E2F" w14:paraId="089FA86C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4F72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ABB1" w14:textId="5AFE0873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567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98FE" w14:textId="61F1038B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496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A570D22" w14:textId="09EC96C9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-12.5%</w:t>
            </w:r>
          </w:p>
        </w:tc>
      </w:tr>
      <w:tr w:rsidR="001924E5" w:rsidRPr="000A1E2F" w14:paraId="706BC1D4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ED41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D565" w14:textId="36C6CDE0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440E" w14:textId="1807B1E2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A80D" w14:textId="7E2B325E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-20.0%</w:t>
            </w:r>
          </w:p>
        </w:tc>
      </w:tr>
      <w:tr w:rsidR="001924E5" w:rsidRPr="000A1E2F" w14:paraId="65957178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CA50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5945" w14:textId="3982A008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8FCD" w14:textId="7B769BAB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183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BD355F5" w14:textId="5A2AEC6B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-9.0%</w:t>
            </w:r>
          </w:p>
        </w:tc>
      </w:tr>
      <w:tr w:rsidR="001924E5" w:rsidRPr="000A1E2F" w14:paraId="323BD68E" w14:textId="77777777" w:rsidTr="00C212FC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E94A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9233" w14:textId="4E2A1D67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2,210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91F6" w14:textId="3EC175C3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1,942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53F57" w14:textId="1E6F5438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-12.1%</w:t>
            </w:r>
          </w:p>
        </w:tc>
      </w:tr>
      <w:tr w:rsidR="001924E5" w:rsidRPr="000A1E2F" w14:paraId="4E7674E0" w14:textId="77777777" w:rsidTr="00F71BBF">
        <w:trPr>
          <w:trHeight w:val="108"/>
        </w:trPr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D948" w14:textId="77777777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4E5" w:rsidRPr="000A1E2F" w14:paraId="7041BD18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876C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1019" w14:textId="5792631B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259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956D" w14:textId="235948F9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285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D6AA9" w14:textId="4CBE999B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10.0%</w:t>
            </w:r>
          </w:p>
        </w:tc>
      </w:tr>
      <w:tr w:rsidR="001924E5" w:rsidRPr="000A1E2F" w14:paraId="32D5E986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2A8C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F4D5" w14:textId="7441EBA2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D27" w14:textId="4795168F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1778FD7" w14:textId="3D63BD52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3.1%</w:t>
            </w:r>
          </w:p>
        </w:tc>
      </w:tr>
      <w:tr w:rsidR="001924E5" w:rsidRPr="000A1E2F" w14:paraId="65689949" w14:textId="77777777" w:rsidTr="00C212FC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78EB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B4E7" w14:textId="07BB6961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BA1D" w14:textId="44B39A3F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170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7CD38" w14:textId="324F4D98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3.0%</w:t>
            </w:r>
          </w:p>
        </w:tc>
      </w:tr>
      <w:tr w:rsidR="001924E5" w:rsidRPr="000A1E2F" w14:paraId="1BF37B80" w14:textId="77777777" w:rsidTr="00C212FC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6B58" w14:textId="77777777" w:rsidR="001924E5" w:rsidRPr="000A1E2F" w:rsidRDefault="001924E5" w:rsidP="001924E5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0966" w14:textId="3FF4A3C5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2,861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86C4" w14:textId="314B64E1" w:rsidR="001924E5" w:rsidRPr="00120199" w:rsidRDefault="001924E5" w:rsidP="001924E5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2,631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D3BD8A9" w14:textId="5E204A5C" w:rsidR="001924E5" w:rsidRPr="00120199" w:rsidRDefault="001924E5" w:rsidP="001924E5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5035">
              <w:t>-8.0%</w:t>
            </w:r>
          </w:p>
        </w:tc>
      </w:tr>
      <w:tr w:rsidR="00F35608" w:rsidRPr="000A1E2F" w14:paraId="2DAE2FE3" w14:textId="77777777" w:rsidTr="00F71BBF">
        <w:trPr>
          <w:trHeight w:val="288"/>
        </w:trPr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A880" w14:textId="77777777" w:rsidR="00F35608" w:rsidRPr="000A1E2F" w:rsidRDefault="00F35608" w:rsidP="00F71BBF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608" w:rsidRPr="000A1E2F" w14:paraId="7344C026" w14:textId="77777777" w:rsidTr="00F71BBF">
        <w:trPr>
          <w:trHeight w:val="288"/>
        </w:trPr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D4D6" w14:textId="47B3D356" w:rsidR="00F35608" w:rsidRPr="000A1E2F" w:rsidRDefault="006D4C10" w:rsidP="00F71BBF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D4C1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Quarter</w:t>
            </w:r>
            <w:r w:rsidR="00F35608" w:rsidRPr="000A1E2F">
              <w:rPr>
                <w:rFonts w:ascii="Arial" w:hAnsi="Arial" w:cs="Arial"/>
                <w:b/>
                <w:sz w:val="20"/>
                <w:szCs w:val="20"/>
              </w:rPr>
              <w:t xml:space="preserve"> Listings</w:t>
            </w:r>
            <w:r w:rsidR="00F35608" w:rsidRPr="000A1E2F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F35608" w:rsidRPr="000A1E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5608" w:rsidRPr="000A1E2F" w14:paraId="5ED60E5F" w14:textId="77777777" w:rsidTr="00F71BB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6AAA" w14:textId="77777777" w:rsidR="00F35608" w:rsidRPr="00256F5E" w:rsidRDefault="00F35608" w:rsidP="00F71BBF">
            <w:pPr>
              <w:ind w:left="-30" w:right="75" w:hanging="15"/>
              <w:jc w:val="center"/>
              <w:rPr>
                <w:rFonts w:cstheme="minorHAnsi"/>
                <w:b/>
              </w:rPr>
            </w:pPr>
            <w:r w:rsidRPr="00256F5E">
              <w:rPr>
                <w:rFonts w:cstheme="minorHAnsi"/>
                <w:b/>
                <w:color w:val="FFFFFF" w:themeColor="background1"/>
              </w:rPr>
              <w:t>County</w:t>
            </w:r>
          </w:p>
        </w:tc>
        <w:tc>
          <w:tcPr>
            <w:tcW w:w="929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D526" w14:textId="38E16E3F" w:rsidR="00F35608" w:rsidRPr="00256F5E" w:rsidRDefault="00F35608" w:rsidP="001924E5">
            <w:pPr>
              <w:ind w:left="-30" w:hanging="15"/>
              <w:jc w:val="center"/>
              <w:rPr>
                <w:rFonts w:cstheme="minorHAnsi"/>
              </w:rPr>
            </w:pPr>
            <w:r w:rsidRPr="00256F5E">
              <w:rPr>
                <w:rFonts w:cstheme="minorHAnsi"/>
                <w:color w:val="FFFFFF" w:themeColor="background1"/>
              </w:rPr>
              <w:t>202</w:t>
            </w:r>
            <w:r w:rsidR="001924E5">
              <w:rPr>
                <w:rFonts w:cstheme="minorHAnsi"/>
                <w:color w:val="FFFFFF" w:themeColor="background1"/>
              </w:rPr>
              <w:t>1</w:t>
            </w:r>
          </w:p>
        </w:tc>
        <w:tc>
          <w:tcPr>
            <w:tcW w:w="929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E108" w14:textId="43F17690" w:rsidR="00F35608" w:rsidRPr="00256F5E" w:rsidRDefault="00F35608" w:rsidP="00F71BBF">
            <w:pPr>
              <w:ind w:left="-30" w:right="75" w:hanging="15"/>
              <w:jc w:val="center"/>
              <w:rPr>
                <w:rFonts w:cstheme="minorHAnsi"/>
              </w:rPr>
            </w:pPr>
            <w:r w:rsidRPr="00256F5E">
              <w:rPr>
                <w:rFonts w:cstheme="minorHAnsi"/>
                <w:color w:val="FFFFFF" w:themeColor="background1"/>
              </w:rPr>
              <w:t>202</w:t>
            </w:r>
            <w:r w:rsidR="001924E5">
              <w:rPr>
                <w:rFonts w:cstheme="minorHAnsi"/>
                <w:color w:val="FFFFFF" w:themeColor="background1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1F4E79" w:themeFill="accent1" w:themeFillShade="80"/>
            <w:vAlign w:val="center"/>
          </w:tcPr>
          <w:p w14:paraId="37B2BBA9" w14:textId="77777777" w:rsidR="00F35608" w:rsidRPr="00256F5E" w:rsidRDefault="00F35608" w:rsidP="00F71BBF">
            <w:pPr>
              <w:ind w:left="-30" w:right="75" w:hanging="15"/>
              <w:jc w:val="right"/>
              <w:rPr>
                <w:rFonts w:cstheme="minorHAnsi"/>
              </w:rPr>
            </w:pPr>
            <w:r w:rsidRPr="00256F5E">
              <w:rPr>
                <w:rFonts w:cstheme="minorHAnsi"/>
                <w:color w:val="FFFFFF" w:themeColor="background1"/>
              </w:rPr>
              <w:t>% Change</w:t>
            </w:r>
          </w:p>
        </w:tc>
      </w:tr>
      <w:tr w:rsidR="00E93491" w:rsidRPr="000A1E2F" w14:paraId="0131CEDD" w14:textId="77777777" w:rsidTr="00EB68D0">
        <w:trPr>
          <w:trHeight w:val="288"/>
        </w:trPr>
        <w:tc>
          <w:tcPr>
            <w:tcW w:w="1440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3365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b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29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7E35" w14:textId="35F417B3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3,144</w:t>
            </w:r>
          </w:p>
        </w:tc>
        <w:tc>
          <w:tcPr>
            <w:tcW w:w="929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B343" w14:textId="12B01024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3,227</w:t>
            </w:r>
          </w:p>
        </w:tc>
        <w:tc>
          <w:tcPr>
            <w:tcW w:w="1069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DC1DC6B" w14:textId="37996989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2.6%</w:t>
            </w:r>
          </w:p>
        </w:tc>
      </w:tr>
      <w:tr w:rsidR="00E93491" w:rsidRPr="000A1E2F" w14:paraId="17689E5E" w14:textId="77777777" w:rsidTr="00EB68D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AD87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0B8E" w14:textId="2AD9A966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1,257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212D" w14:textId="0C49CE75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1,222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E885F9" w14:textId="475497B8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-2.8%</w:t>
            </w:r>
          </w:p>
        </w:tc>
      </w:tr>
      <w:tr w:rsidR="00E93491" w:rsidRPr="000A1E2F" w14:paraId="3EDFF1D1" w14:textId="77777777" w:rsidTr="00EB68D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27D5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EC3F" w14:textId="142EB3FE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469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0CE0" w14:textId="695D4B61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427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294B7" w14:textId="189DB98A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-9.0%</w:t>
            </w:r>
          </w:p>
        </w:tc>
      </w:tr>
      <w:tr w:rsidR="00E93491" w:rsidRPr="000A1E2F" w14:paraId="75764482" w14:textId="77777777" w:rsidTr="00EB68D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C7C0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EF03" w14:textId="36D0B373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323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0CE6" w14:textId="14BB4786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291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309FFB" w14:textId="5AB90DD1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-9.9%</w:t>
            </w:r>
          </w:p>
        </w:tc>
      </w:tr>
      <w:tr w:rsidR="00E93491" w:rsidRPr="000A1E2F" w14:paraId="03054BDF" w14:textId="77777777" w:rsidTr="00EB68D0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37BF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726E" w14:textId="19085C03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5,193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A9D8" w14:textId="5A48D380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5,167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4B309" w14:textId="4E7944E4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-0.5%</w:t>
            </w:r>
          </w:p>
        </w:tc>
      </w:tr>
      <w:tr w:rsidR="00E93491" w:rsidRPr="000A1E2F" w14:paraId="0EE9E0F3" w14:textId="77777777" w:rsidTr="00F71BBF">
        <w:trPr>
          <w:trHeight w:val="90"/>
        </w:trPr>
        <w:tc>
          <w:tcPr>
            <w:tcW w:w="4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5731" w14:textId="77777777" w:rsidR="00E93491" w:rsidRPr="003F1A08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93491" w:rsidRPr="000A1E2F" w14:paraId="3752CA21" w14:textId="77777777" w:rsidTr="00EB68D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9548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BE2D" w14:textId="59C3E12F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645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A814" w14:textId="5DA5CE9B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647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ED80A" w14:textId="79108FEF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0.3%</w:t>
            </w:r>
          </w:p>
        </w:tc>
      </w:tr>
      <w:tr w:rsidR="00E93491" w:rsidRPr="000A1E2F" w14:paraId="373B8B16" w14:textId="77777777" w:rsidTr="00EB68D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2D4D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D097" w14:textId="309A325D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509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272B" w14:textId="3A9A3F58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517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7496F31" w14:textId="322E9A0F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1.6%</w:t>
            </w:r>
          </w:p>
        </w:tc>
      </w:tr>
      <w:tr w:rsidR="00E93491" w:rsidRPr="000A1E2F" w14:paraId="56232315" w14:textId="77777777" w:rsidTr="00EB68D0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8E22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583C" w14:textId="5EE9A634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439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E43F" w14:textId="639403FD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405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20554" w14:textId="3A35CFB0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-7.7%</w:t>
            </w:r>
          </w:p>
        </w:tc>
      </w:tr>
      <w:tr w:rsidR="00E93491" w:rsidRPr="000A1E2F" w14:paraId="4576BFAA" w14:textId="77777777" w:rsidTr="00EB68D0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C5FB" w14:textId="77777777" w:rsidR="00E93491" w:rsidRPr="000A1E2F" w:rsidRDefault="00E93491" w:rsidP="00E93491">
            <w:pPr>
              <w:ind w:left="-30" w:right="75" w:hanging="15"/>
              <w:rPr>
                <w:rFonts w:ascii="Arial" w:hAnsi="Arial" w:cs="Arial"/>
                <w:sz w:val="20"/>
                <w:szCs w:val="20"/>
              </w:rPr>
            </w:pPr>
            <w:r w:rsidRPr="000A1E2F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F080" w14:textId="27B6D9B4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6,786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0875" w14:textId="71FE7B22" w:rsidR="00E93491" w:rsidRPr="009E2EEB" w:rsidRDefault="00E93491" w:rsidP="00E93491">
            <w:pPr>
              <w:ind w:left="-30" w:right="7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6,736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D7465EC" w14:textId="464FCADA" w:rsidR="00E93491" w:rsidRPr="009E2EEB" w:rsidRDefault="00E93491" w:rsidP="00E93491">
            <w:pPr>
              <w:ind w:left="-30" w:right="225" w:hanging="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36A">
              <w:t>-0.7%</w:t>
            </w:r>
          </w:p>
        </w:tc>
      </w:tr>
    </w:tbl>
    <w:p w14:paraId="365D44CA" w14:textId="77777777" w:rsidR="000B67F7" w:rsidRDefault="000B67F7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4B75B857" w14:textId="2341E6F1" w:rsidR="00917850" w:rsidRDefault="00A07F36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9C003E">
        <w:rPr>
          <w:rFonts w:ascii="Arial" w:hAnsi="Arial" w:cs="Arial"/>
          <w:sz w:val="21"/>
          <w:szCs w:val="21"/>
        </w:rPr>
        <w:t xml:space="preserve">he </w:t>
      </w:r>
      <w:r w:rsidR="00940821">
        <w:rPr>
          <w:rFonts w:ascii="Arial" w:hAnsi="Arial" w:cs="Arial"/>
          <w:sz w:val="21"/>
          <w:szCs w:val="21"/>
        </w:rPr>
        <w:t xml:space="preserve">real crisis is the absence </w:t>
      </w:r>
      <w:r w:rsidR="009C003E">
        <w:rPr>
          <w:rFonts w:ascii="Arial" w:hAnsi="Arial" w:cs="Arial"/>
          <w:sz w:val="21"/>
          <w:szCs w:val="21"/>
        </w:rPr>
        <w:t xml:space="preserve">of </w:t>
      </w:r>
      <w:proofErr w:type="gramStart"/>
      <w:r w:rsidR="00F35608">
        <w:rPr>
          <w:rFonts w:ascii="Arial" w:hAnsi="Arial" w:cs="Arial"/>
          <w:sz w:val="21"/>
          <w:szCs w:val="21"/>
        </w:rPr>
        <w:t>available units</w:t>
      </w:r>
      <w:proofErr w:type="gramEnd"/>
      <w:r w:rsidR="00F35608">
        <w:rPr>
          <w:rFonts w:ascii="Arial" w:hAnsi="Arial" w:cs="Arial"/>
          <w:sz w:val="21"/>
          <w:szCs w:val="21"/>
        </w:rPr>
        <w:t xml:space="preserve"> to purchase</w:t>
      </w:r>
      <w:r w:rsidR="009C003E">
        <w:rPr>
          <w:rFonts w:ascii="Arial" w:hAnsi="Arial" w:cs="Arial"/>
          <w:sz w:val="21"/>
          <w:szCs w:val="21"/>
        </w:rPr>
        <w:t xml:space="preserve"> </w:t>
      </w:r>
      <w:r w:rsidR="00BF0B94">
        <w:rPr>
          <w:rFonts w:ascii="Arial" w:hAnsi="Arial" w:cs="Arial"/>
          <w:sz w:val="21"/>
          <w:szCs w:val="21"/>
        </w:rPr>
        <w:t>resulting from</w:t>
      </w:r>
      <w:r w:rsidR="00940821">
        <w:rPr>
          <w:rFonts w:ascii="Arial" w:hAnsi="Arial" w:cs="Arial"/>
          <w:sz w:val="21"/>
          <w:szCs w:val="21"/>
        </w:rPr>
        <w:t xml:space="preserve"> </w:t>
      </w:r>
      <w:r w:rsidR="009C003E">
        <w:rPr>
          <w:rFonts w:ascii="Arial" w:hAnsi="Arial" w:cs="Arial"/>
          <w:sz w:val="21"/>
          <w:szCs w:val="21"/>
        </w:rPr>
        <w:t xml:space="preserve">too few </w:t>
      </w:r>
      <w:r w:rsidR="00917850" w:rsidRPr="00882E28">
        <w:rPr>
          <w:rFonts w:ascii="Arial" w:hAnsi="Arial" w:cs="Arial"/>
          <w:sz w:val="21"/>
          <w:szCs w:val="21"/>
        </w:rPr>
        <w:t>single-family and condominium</w:t>
      </w:r>
      <w:r w:rsidR="00917850">
        <w:rPr>
          <w:rFonts w:ascii="Arial" w:hAnsi="Arial" w:cs="Arial"/>
          <w:sz w:val="21"/>
          <w:szCs w:val="21"/>
        </w:rPr>
        <w:t xml:space="preserve">s </w:t>
      </w:r>
      <w:r w:rsidR="00EE433A">
        <w:rPr>
          <w:rFonts w:ascii="Arial" w:hAnsi="Arial" w:cs="Arial"/>
          <w:sz w:val="21"/>
          <w:szCs w:val="21"/>
        </w:rPr>
        <w:t xml:space="preserve">built </w:t>
      </w:r>
      <w:r w:rsidR="00F35608">
        <w:rPr>
          <w:rFonts w:ascii="Arial" w:hAnsi="Arial" w:cs="Arial"/>
          <w:sz w:val="21"/>
          <w:szCs w:val="21"/>
        </w:rPr>
        <w:t>since the Great Recession</w:t>
      </w:r>
      <w:r w:rsidR="00BD363D" w:rsidRPr="000A1E2F">
        <w:rPr>
          <w:rFonts w:ascii="Arial" w:hAnsi="Arial" w:cs="Arial"/>
          <w:sz w:val="21"/>
          <w:szCs w:val="21"/>
        </w:rPr>
        <w:t xml:space="preserve">. </w:t>
      </w:r>
    </w:p>
    <w:p w14:paraId="3E9BF222" w14:textId="77777777" w:rsidR="00917850" w:rsidRDefault="00917850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79E12665" w14:textId="324566F8" w:rsidR="00BD363D" w:rsidRPr="000A1E2F" w:rsidRDefault="00917850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 w:rsidRPr="00882E28">
        <w:rPr>
          <w:rFonts w:ascii="Arial" w:hAnsi="Arial" w:cs="Arial"/>
          <w:sz w:val="21"/>
          <w:szCs w:val="21"/>
        </w:rPr>
        <w:t>If the region does not create additional supply</w:t>
      </w:r>
      <w:r w:rsidR="00BF0B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882E28">
        <w:rPr>
          <w:rFonts w:ascii="Arial" w:hAnsi="Arial" w:cs="Arial"/>
          <w:sz w:val="21"/>
          <w:szCs w:val="21"/>
        </w:rPr>
        <w:t xml:space="preserve">thousands of would-be homeowners will </w:t>
      </w:r>
      <w:proofErr w:type="gramStart"/>
      <w:r w:rsidRPr="00882E28">
        <w:rPr>
          <w:rFonts w:ascii="Arial" w:hAnsi="Arial" w:cs="Arial"/>
          <w:sz w:val="21"/>
          <w:szCs w:val="21"/>
        </w:rPr>
        <w:t>be forced</w:t>
      </w:r>
      <w:proofErr w:type="gramEnd"/>
      <w:r w:rsidRPr="00882E28">
        <w:rPr>
          <w:rFonts w:ascii="Arial" w:hAnsi="Arial" w:cs="Arial"/>
          <w:sz w:val="21"/>
          <w:szCs w:val="21"/>
        </w:rPr>
        <w:t xml:space="preserve"> to </w:t>
      </w:r>
      <w:r>
        <w:rPr>
          <w:rFonts w:ascii="Arial" w:hAnsi="Arial" w:cs="Arial"/>
          <w:sz w:val="21"/>
          <w:szCs w:val="21"/>
        </w:rPr>
        <w:t xml:space="preserve">stay in </w:t>
      </w:r>
      <w:r w:rsidRPr="00882E28">
        <w:rPr>
          <w:rFonts w:ascii="Arial" w:hAnsi="Arial" w:cs="Arial"/>
          <w:sz w:val="21"/>
          <w:szCs w:val="21"/>
        </w:rPr>
        <w:t>rental units, foregoing the opportunity to build wealth through a home’s equity and all of the other benefits of homeownership</w:t>
      </w:r>
      <w:r>
        <w:rPr>
          <w:rFonts w:ascii="Arial" w:hAnsi="Arial" w:cs="Arial"/>
          <w:sz w:val="21"/>
          <w:szCs w:val="21"/>
        </w:rPr>
        <w:t>.</w:t>
      </w:r>
    </w:p>
    <w:p w14:paraId="672888D9" w14:textId="6B5B4734" w:rsidR="00BD363D" w:rsidRDefault="00BD363D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33D3E6B6" w14:textId="516D2C9D" w:rsidR="006A29CF" w:rsidRDefault="006A29CF" w:rsidP="006A29C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price increases we have seen are </w:t>
      </w:r>
      <w:proofErr w:type="gramStart"/>
      <w:r>
        <w:rPr>
          <w:rFonts w:ascii="Arial" w:hAnsi="Arial" w:cs="Arial"/>
          <w:sz w:val="21"/>
          <w:szCs w:val="21"/>
        </w:rPr>
        <w:t>directly related</w:t>
      </w:r>
      <w:proofErr w:type="gramEnd"/>
      <w:r>
        <w:rPr>
          <w:rFonts w:ascii="Arial" w:hAnsi="Arial" w:cs="Arial"/>
          <w:sz w:val="21"/>
          <w:szCs w:val="21"/>
        </w:rPr>
        <w:t xml:space="preserve"> to supply constraints and buyer demand (demand of new buyers, move-</w:t>
      </w:r>
      <w:r w:rsidRPr="00612A8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up buyers, and downsizers, among others), especially in the last five years. </w:t>
      </w:r>
    </w:p>
    <w:p w14:paraId="252B541D" w14:textId="0A46B1E2" w:rsidR="006A29CF" w:rsidRDefault="006A29CF" w:rsidP="006A29C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5522DA4E" w14:textId="542BCEBF" w:rsidR="006A29CF" w:rsidRDefault="00167F70" w:rsidP="006A29C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One factor that may pump the brakes on the market is </w:t>
      </w:r>
      <w:r w:rsidRPr="00917850">
        <w:rPr>
          <w:rFonts w:ascii="Arial" w:hAnsi="Arial" w:cs="Arial"/>
          <w:b/>
          <w:bCs/>
          <w:sz w:val="21"/>
          <w:szCs w:val="21"/>
        </w:rPr>
        <w:t>mortgage rates</w:t>
      </w:r>
      <w:r>
        <w:rPr>
          <w:rFonts w:ascii="Arial" w:hAnsi="Arial" w:cs="Arial"/>
          <w:sz w:val="21"/>
          <w:szCs w:val="21"/>
        </w:rPr>
        <w:t xml:space="preserve">. </w:t>
      </w:r>
      <w:hyperlink r:id="rId11" w:history="1">
        <w:r w:rsidR="00E226C8" w:rsidRPr="00E226C8">
          <w:rPr>
            <w:rStyle w:val="Hyperlink"/>
            <w:rFonts w:ascii="Arial" w:hAnsi="Arial" w:cs="Arial"/>
            <w:sz w:val="21"/>
            <w:szCs w:val="21"/>
          </w:rPr>
          <w:t>Freddie Mac</w:t>
        </w:r>
      </w:hyperlink>
      <w:r>
        <w:rPr>
          <w:rFonts w:ascii="Arial" w:hAnsi="Arial" w:cs="Arial"/>
          <w:sz w:val="21"/>
          <w:szCs w:val="21"/>
        </w:rPr>
        <w:t xml:space="preserve"> reported that mortgage rates increased from 3.</w:t>
      </w:r>
      <w:r w:rsidR="00E226C8">
        <w:rPr>
          <w:rFonts w:ascii="Arial" w:hAnsi="Arial" w:cs="Arial"/>
          <w:sz w:val="21"/>
          <w:szCs w:val="21"/>
        </w:rPr>
        <w:t>22</w:t>
      </w:r>
      <w:r>
        <w:rPr>
          <w:rFonts w:ascii="Arial" w:hAnsi="Arial" w:cs="Arial"/>
          <w:sz w:val="21"/>
          <w:szCs w:val="21"/>
        </w:rPr>
        <w:t xml:space="preserve">% on January </w:t>
      </w:r>
      <w:r w:rsidR="00E226C8">
        <w:rPr>
          <w:rFonts w:ascii="Arial" w:hAnsi="Arial" w:cs="Arial"/>
          <w:sz w:val="21"/>
          <w:szCs w:val="21"/>
        </w:rPr>
        <w:t>6</w:t>
      </w:r>
      <w:r w:rsidR="00E226C8" w:rsidRPr="00E226C8">
        <w:rPr>
          <w:rFonts w:ascii="Arial" w:hAnsi="Arial" w:cs="Arial"/>
          <w:sz w:val="21"/>
          <w:szCs w:val="21"/>
          <w:vertAlign w:val="superscript"/>
        </w:rPr>
        <w:t>th</w:t>
      </w:r>
      <w:r w:rsidR="00E226C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to </w:t>
      </w:r>
      <w:r w:rsidR="00E226C8">
        <w:rPr>
          <w:rFonts w:ascii="Arial" w:hAnsi="Arial" w:cs="Arial"/>
          <w:sz w:val="21"/>
          <w:szCs w:val="21"/>
        </w:rPr>
        <w:t>4.72</w:t>
      </w:r>
      <w:r>
        <w:rPr>
          <w:rFonts w:ascii="Arial" w:hAnsi="Arial" w:cs="Arial"/>
          <w:sz w:val="21"/>
          <w:szCs w:val="21"/>
        </w:rPr>
        <w:t xml:space="preserve">% on April </w:t>
      </w:r>
      <w:r w:rsidR="00E226C8">
        <w:rPr>
          <w:rFonts w:ascii="Arial" w:hAnsi="Arial" w:cs="Arial"/>
          <w:sz w:val="21"/>
          <w:szCs w:val="21"/>
        </w:rPr>
        <w:t>7</w:t>
      </w:r>
      <w:r w:rsidRPr="00167F70">
        <w:rPr>
          <w:rFonts w:ascii="Arial" w:hAnsi="Arial" w:cs="Arial"/>
          <w:sz w:val="21"/>
          <w:szCs w:val="21"/>
          <w:vertAlign w:val="superscript"/>
        </w:rPr>
        <w:t>th</w:t>
      </w:r>
      <w:r w:rsidR="00E226C8">
        <w:rPr>
          <w:rFonts w:ascii="Arial" w:hAnsi="Arial" w:cs="Arial"/>
          <w:sz w:val="21"/>
          <w:szCs w:val="21"/>
        </w:rPr>
        <w:t xml:space="preserve">. </w:t>
      </w:r>
      <w:r w:rsidR="00A66383">
        <w:rPr>
          <w:rFonts w:ascii="Arial" w:hAnsi="Arial" w:cs="Arial"/>
          <w:sz w:val="21"/>
          <w:szCs w:val="21"/>
        </w:rPr>
        <w:t>Bu</w:t>
      </w:r>
      <w:r w:rsidR="008B71BB">
        <w:rPr>
          <w:rFonts w:ascii="Arial" w:hAnsi="Arial" w:cs="Arial"/>
          <w:sz w:val="21"/>
          <w:szCs w:val="21"/>
        </w:rPr>
        <w:t>t</w:t>
      </w:r>
      <w:r w:rsidR="00A66383">
        <w:rPr>
          <w:rFonts w:ascii="Arial" w:hAnsi="Arial" w:cs="Arial"/>
          <w:sz w:val="21"/>
          <w:szCs w:val="21"/>
        </w:rPr>
        <w:t xml:space="preserve"> REALTORS</w:t>
      </w:r>
      <w:r w:rsidR="00A66383" w:rsidRPr="00A66383">
        <w:rPr>
          <w:rFonts w:ascii="Arial" w:hAnsi="Arial" w:cs="Arial"/>
          <w:sz w:val="21"/>
          <w:szCs w:val="21"/>
          <w:vertAlign w:val="superscript"/>
        </w:rPr>
        <w:t>®</w:t>
      </w:r>
      <w:r w:rsidR="00A66383">
        <w:rPr>
          <w:rFonts w:ascii="Arial" w:hAnsi="Arial" w:cs="Arial"/>
          <w:sz w:val="21"/>
          <w:szCs w:val="21"/>
        </w:rPr>
        <w:t xml:space="preserve"> are </w:t>
      </w:r>
      <w:r w:rsidR="008B71BB">
        <w:rPr>
          <w:rFonts w:ascii="Arial" w:hAnsi="Arial" w:cs="Arial"/>
          <w:sz w:val="21"/>
          <w:szCs w:val="21"/>
        </w:rPr>
        <w:t>pointing out</w:t>
      </w:r>
      <w:r w:rsidR="00A66383">
        <w:rPr>
          <w:rFonts w:ascii="Arial" w:hAnsi="Arial" w:cs="Arial"/>
          <w:sz w:val="21"/>
          <w:szCs w:val="21"/>
        </w:rPr>
        <w:t xml:space="preserve"> that even rates approaching 5% are historically low.</w:t>
      </w:r>
      <w:r w:rsidR="008B71BB">
        <w:rPr>
          <w:rFonts w:ascii="Arial" w:hAnsi="Arial" w:cs="Arial"/>
          <w:sz w:val="21"/>
          <w:szCs w:val="21"/>
        </w:rPr>
        <w:t xml:space="preserve"> </w:t>
      </w:r>
    </w:p>
    <w:p w14:paraId="073F9FE5" w14:textId="77777777" w:rsidR="00167F70" w:rsidRDefault="00167F70" w:rsidP="006A29C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11B83E44" w14:textId="4049993C" w:rsidR="002C639C" w:rsidRDefault="00BD363D" w:rsidP="008B71BB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 w:rsidRPr="000A1E2F">
        <w:rPr>
          <w:rFonts w:ascii="Arial" w:hAnsi="Arial" w:cs="Arial"/>
          <w:sz w:val="21"/>
          <w:szCs w:val="21"/>
        </w:rPr>
        <w:t xml:space="preserve">In </w:t>
      </w:r>
      <w:r w:rsidR="006D4C10">
        <w:rPr>
          <w:rFonts w:ascii="Arial" w:hAnsi="Arial" w:cs="Arial"/>
          <w:sz w:val="21"/>
          <w:szCs w:val="21"/>
        </w:rPr>
        <w:t>March</w:t>
      </w:r>
      <w:r w:rsidRPr="000A1E2F">
        <w:rPr>
          <w:rFonts w:ascii="Arial" w:hAnsi="Arial" w:cs="Arial"/>
          <w:sz w:val="21"/>
          <w:szCs w:val="21"/>
        </w:rPr>
        <w:t xml:space="preserve"> there w</w:t>
      </w:r>
      <w:r w:rsidR="007E12FC">
        <w:rPr>
          <w:rFonts w:ascii="Arial" w:hAnsi="Arial" w:cs="Arial"/>
          <w:sz w:val="21"/>
          <w:szCs w:val="21"/>
        </w:rPr>
        <w:t>as</w:t>
      </w:r>
      <w:r w:rsidR="0067111B" w:rsidRPr="000A1E2F">
        <w:rPr>
          <w:rFonts w:ascii="Arial" w:hAnsi="Arial" w:cs="Arial"/>
          <w:sz w:val="21"/>
          <w:szCs w:val="21"/>
        </w:rPr>
        <w:t xml:space="preserve"> only enough inventory to satisfy </w:t>
      </w:r>
      <w:r w:rsidR="001A6012">
        <w:rPr>
          <w:rFonts w:ascii="Arial" w:hAnsi="Arial" w:cs="Arial"/>
          <w:sz w:val="21"/>
          <w:szCs w:val="21"/>
        </w:rPr>
        <w:t>1.9</w:t>
      </w:r>
      <w:r w:rsidR="0067111B" w:rsidRPr="000A1E2F">
        <w:rPr>
          <w:rFonts w:ascii="Arial" w:hAnsi="Arial" w:cs="Arial"/>
          <w:sz w:val="21"/>
          <w:szCs w:val="21"/>
        </w:rPr>
        <w:t xml:space="preserve"> months of demand, and if we subtract units with an offer, it </w:t>
      </w:r>
      <w:r w:rsidR="001A6012">
        <w:rPr>
          <w:rFonts w:ascii="Arial" w:hAnsi="Arial" w:cs="Arial"/>
          <w:sz w:val="21"/>
          <w:szCs w:val="21"/>
        </w:rPr>
        <w:t xml:space="preserve">dropped </w:t>
      </w:r>
      <w:r w:rsidR="0067111B" w:rsidRPr="000A1E2F">
        <w:rPr>
          <w:rFonts w:ascii="Arial" w:hAnsi="Arial" w:cs="Arial"/>
          <w:sz w:val="21"/>
          <w:szCs w:val="21"/>
        </w:rPr>
        <w:t xml:space="preserve">to </w:t>
      </w:r>
      <w:r w:rsidR="001A6012">
        <w:rPr>
          <w:rFonts w:ascii="Arial" w:hAnsi="Arial" w:cs="Arial"/>
          <w:sz w:val="21"/>
          <w:szCs w:val="21"/>
        </w:rPr>
        <w:t>0</w:t>
      </w:r>
      <w:r w:rsidR="0067111B" w:rsidRPr="000A1E2F">
        <w:rPr>
          <w:rFonts w:ascii="Arial" w:hAnsi="Arial" w:cs="Arial"/>
          <w:sz w:val="21"/>
          <w:szCs w:val="21"/>
        </w:rPr>
        <w:t>.</w:t>
      </w:r>
      <w:r w:rsidR="001A6012">
        <w:rPr>
          <w:rFonts w:ascii="Arial" w:hAnsi="Arial" w:cs="Arial"/>
          <w:sz w:val="21"/>
          <w:szCs w:val="21"/>
        </w:rPr>
        <w:t>7</w:t>
      </w:r>
      <w:r w:rsidR="0067111B" w:rsidRPr="000A1E2F">
        <w:rPr>
          <w:rFonts w:ascii="Arial" w:hAnsi="Arial" w:cs="Arial"/>
          <w:sz w:val="21"/>
          <w:szCs w:val="21"/>
        </w:rPr>
        <w:t xml:space="preserve"> months</w:t>
      </w:r>
      <w:r w:rsidR="00A66383">
        <w:rPr>
          <w:rFonts w:ascii="Arial" w:hAnsi="Arial" w:cs="Arial"/>
          <w:sz w:val="21"/>
          <w:szCs w:val="21"/>
        </w:rPr>
        <w:t xml:space="preserve"> (about 3 weeks)</w:t>
      </w:r>
      <w:r w:rsidR="0067111B" w:rsidRPr="000A1E2F">
        <w:rPr>
          <w:rFonts w:ascii="Arial" w:hAnsi="Arial" w:cs="Arial"/>
          <w:sz w:val="21"/>
          <w:szCs w:val="21"/>
        </w:rPr>
        <w:t xml:space="preserve">. To satisfy </w:t>
      </w:r>
      <w:r w:rsidRPr="000A1E2F">
        <w:rPr>
          <w:rFonts w:ascii="Arial" w:hAnsi="Arial" w:cs="Arial"/>
          <w:sz w:val="21"/>
          <w:szCs w:val="21"/>
        </w:rPr>
        <w:t xml:space="preserve">the </w:t>
      </w:r>
      <w:r w:rsidR="0067111B" w:rsidRPr="000A1E2F">
        <w:rPr>
          <w:rFonts w:ascii="Arial" w:hAnsi="Arial" w:cs="Arial"/>
          <w:sz w:val="21"/>
          <w:szCs w:val="21"/>
        </w:rPr>
        <w:t>demand</w:t>
      </w:r>
      <w:r w:rsidRPr="000A1E2F">
        <w:rPr>
          <w:rFonts w:ascii="Arial" w:hAnsi="Arial" w:cs="Arial"/>
          <w:sz w:val="21"/>
          <w:szCs w:val="21"/>
        </w:rPr>
        <w:t xml:space="preserve"> REALTORS</w:t>
      </w:r>
      <w:r w:rsidR="009C003E" w:rsidRPr="009C003E">
        <w:rPr>
          <w:rFonts w:ascii="Arial" w:hAnsi="Arial" w:cs="Arial"/>
          <w:sz w:val="21"/>
          <w:szCs w:val="21"/>
          <w:vertAlign w:val="superscript"/>
        </w:rPr>
        <w:t>®</w:t>
      </w:r>
      <w:r w:rsidRPr="000A1E2F">
        <w:rPr>
          <w:rFonts w:ascii="Arial" w:hAnsi="Arial" w:cs="Arial"/>
          <w:sz w:val="21"/>
          <w:szCs w:val="21"/>
        </w:rPr>
        <w:t xml:space="preserve"> are seeing</w:t>
      </w:r>
      <w:r w:rsidR="001A6012">
        <w:rPr>
          <w:rFonts w:ascii="Arial" w:hAnsi="Arial" w:cs="Arial"/>
          <w:sz w:val="21"/>
          <w:szCs w:val="21"/>
        </w:rPr>
        <w:t xml:space="preserve"> this </w:t>
      </w:r>
      <w:r w:rsidR="00A66383">
        <w:rPr>
          <w:rFonts w:ascii="Arial" w:hAnsi="Arial" w:cs="Arial"/>
          <w:sz w:val="21"/>
          <w:szCs w:val="21"/>
        </w:rPr>
        <w:t>spring</w:t>
      </w:r>
      <w:r w:rsidR="0067111B" w:rsidRPr="000A1E2F">
        <w:rPr>
          <w:rFonts w:ascii="Arial" w:hAnsi="Arial" w:cs="Arial"/>
          <w:sz w:val="21"/>
          <w:szCs w:val="21"/>
        </w:rPr>
        <w:t xml:space="preserve">, the market needs an additional </w:t>
      </w:r>
      <w:r w:rsidR="001A6012">
        <w:rPr>
          <w:rFonts w:ascii="Arial" w:hAnsi="Arial" w:cs="Arial"/>
          <w:sz w:val="21"/>
          <w:szCs w:val="21"/>
        </w:rPr>
        <w:t>7</w:t>
      </w:r>
      <w:r w:rsidR="0067111B" w:rsidRPr="000A1E2F">
        <w:rPr>
          <w:rFonts w:ascii="Arial" w:hAnsi="Arial" w:cs="Arial"/>
          <w:sz w:val="21"/>
          <w:szCs w:val="21"/>
        </w:rPr>
        <w:t>,</w:t>
      </w:r>
      <w:r w:rsidR="001A6012">
        <w:rPr>
          <w:rFonts w:ascii="Arial" w:hAnsi="Arial" w:cs="Arial"/>
          <w:sz w:val="21"/>
          <w:szCs w:val="21"/>
        </w:rPr>
        <w:t>97</w:t>
      </w:r>
      <w:r w:rsidR="00A66383">
        <w:rPr>
          <w:rFonts w:ascii="Arial" w:hAnsi="Arial" w:cs="Arial"/>
          <w:sz w:val="21"/>
          <w:szCs w:val="21"/>
        </w:rPr>
        <w:t>0</w:t>
      </w:r>
      <w:r w:rsidR="0067111B" w:rsidRPr="000A1E2F">
        <w:rPr>
          <w:rFonts w:ascii="Arial" w:hAnsi="Arial" w:cs="Arial"/>
          <w:sz w:val="21"/>
          <w:szCs w:val="21"/>
        </w:rPr>
        <w:t xml:space="preserve"> units.</w:t>
      </w:r>
    </w:p>
    <w:p w14:paraId="2FCE6CE5" w14:textId="1D344FCE" w:rsidR="00E559AE" w:rsidRDefault="00E559AE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tbl>
      <w:tblPr>
        <w:tblpPr w:leftFromText="187" w:rightFromText="360" w:bottomFromText="288" w:vertAnchor="text" w:horzAnchor="margin" w:tblpX="-359" w:tblpY="30"/>
        <w:tblW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269"/>
        <w:gridCol w:w="1052"/>
        <w:gridCol w:w="1270"/>
        <w:gridCol w:w="999"/>
      </w:tblGrid>
      <w:tr w:rsidR="00406BF6" w:rsidRPr="000A1E2F" w14:paraId="1FAB8814" w14:textId="77777777" w:rsidTr="001D331B">
        <w:trPr>
          <w:trHeight w:val="360"/>
        </w:trPr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15214F" w14:textId="7168F57E" w:rsidR="00406BF6" w:rsidRPr="00406BF6" w:rsidRDefault="00406BF6" w:rsidP="00F71BBF">
            <w:pPr>
              <w:spacing w:line="252" w:lineRule="auto"/>
              <w:ind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406BF6">
              <w:rPr>
                <w:rFonts w:ascii="Arial" w:hAnsi="Arial" w:cs="Arial"/>
                <w:sz w:val="20"/>
                <w:szCs w:val="20"/>
              </w:rPr>
              <w:br w:type="page"/>
            </w:r>
            <w:r w:rsidR="001924E5">
              <w:rPr>
                <w:rFonts w:ascii="Arial" w:hAnsi="Arial" w:cs="Arial"/>
                <w:sz w:val="20"/>
                <w:szCs w:val="20"/>
              </w:rPr>
              <w:t>1</w:t>
            </w:r>
            <w:r w:rsidR="001924E5" w:rsidRPr="001924E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1924E5"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 w:rsidRPr="00406BF6">
              <w:rPr>
                <w:rFonts w:ascii="Arial" w:hAnsi="Arial" w:cs="Arial"/>
                <w:b/>
                <w:sz w:val="20"/>
                <w:szCs w:val="20"/>
              </w:rPr>
              <w:t xml:space="preserve"> Sale Prices</w:t>
            </w:r>
            <w:r w:rsidRPr="00406BF6">
              <w:rPr>
                <w:rFonts w:ascii="Arial" w:hAnsi="Arial" w:cs="Arial"/>
                <w:bCs/>
                <w:sz w:val="20"/>
                <w:szCs w:val="20"/>
              </w:rPr>
              <w:t xml:space="preserve"> (Jan 1 – </w:t>
            </w:r>
            <w:r w:rsidR="001924E5">
              <w:rPr>
                <w:rFonts w:ascii="Arial" w:hAnsi="Arial" w:cs="Arial"/>
                <w:bCs/>
                <w:sz w:val="20"/>
                <w:szCs w:val="20"/>
              </w:rPr>
              <w:t>Mar</w:t>
            </w:r>
            <w:r w:rsidRPr="00406BF6">
              <w:rPr>
                <w:rFonts w:ascii="Arial" w:hAnsi="Arial" w:cs="Arial"/>
                <w:bCs/>
                <w:sz w:val="20"/>
                <w:szCs w:val="20"/>
              </w:rPr>
              <w:t xml:space="preserve"> 31)</w:t>
            </w:r>
          </w:p>
        </w:tc>
      </w:tr>
      <w:tr w:rsidR="00406BF6" w:rsidRPr="000A1E2F" w14:paraId="7CC1CD7E" w14:textId="77777777" w:rsidTr="001D331B">
        <w:trPr>
          <w:trHeight w:val="357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12901978" w14:textId="77777777" w:rsidR="00406BF6" w:rsidRPr="00406BF6" w:rsidRDefault="00406BF6" w:rsidP="00F71BBF">
            <w:pPr>
              <w:ind w:left="175" w:right="-15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06BF6">
              <w:rPr>
                <w:rFonts w:cstheme="minorHAnsi"/>
                <w:b/>
                <w:color w:val="FFFFFF" w:themeColor="background1"/>
              </w:rPr>
              <w:t>County</w:t>
            </w:r>
          </w:p>
        </w:tc>
        <w:tc>
          <w:tcPr>
            <w:tcW w:w="126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DEE5" w14:textId="5677D58C" w:rsidR="00406BF6" w:rsidRPr="00406BF6" w:rsidRDefault="00406BF6" w:rsidP="00F71BBF">
            <w:pPr>
              <w:spacing w:line="207" w:lineRule="atLeast"/>
              <w:ind w:left="44" w:right="-15"/>
              <w:jc w:val="center"/>
              <w:rPr>
                <w:rFonts w:cstheme="minorHAnsi"/>
                <w:color w:val="FFFFFF" w:themeColor="background1"/>
              </w:rPr>
            </w:pPr>
            <w:r w:rsidRPr="00406BF6">
              <w:rPr>
                <w:rFonts w:cstheme="minorHAnsi"/>
                <w:color w:val="FFFFFF" w:themeColor="background1"/>
              </w:rPr>
              <w:t>202</w:t>
            </w:r>
            <w:r w:rsidR="001924E5">
              <w:rPr>
                <w:rFonts w:cstheme="minorHAnsi"/>
                <w:color w:val="FFFFFF" w:themeColor="background1"/>
              </w:rPr>
              <w:t>1</w:t>
            </w:r>
          </w:p>
        </w:tc>
        <w:tc>
          <w:tcPr>
            <w:tcW w:w="105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C9EA" w14:textId="4599AAAC" w:rsidR="00406BF6" w:rsidRPr="00406BF6" w:rsidRDefault="00406BF6" w:rsidP="00F71BBF">
            <w:pPr>
              <w:spacing w:line="207" w:lineRule="atLeast"/>
              <w:ind w:right="-15"/>
              <w:jc w:val="center"/>
              <w:rPr>
                <w:rFonts w:cstheme="minorHAnsi"/>
                <w:color w:val="FFFFFF" w:themeColor="background1"/>
              </w:rPr>
            </w:pPr>
            <w:r w:rsidRPr="00406BF6">
              <w:rPr>
                <w:rFonts w:cstheme="minorHAnsi"/>
                <w:color w:val="FFFFFF" w:themeColor="background1"/>
              </w:rPr>
              <w:t>202</w:t>
            </w:r>
            <w:r w:rsidR="001924E5">
              <w:rPr>
                <w:rFonts w:cstheme="minorHAnsi"/>
                <w:color w:val="FFFFFF" w:themeColor="background1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26ADDDE" w14:textId="77777777" w:rsidR="00406BF6" w:rsidRPr="00406BF6" w:rsidRDefault="00406BF6" w:rsidP="00F71BBF">
            <w:pPr>
              <w:ind w:left="89" w:right="255"/>
              <w:jc w:val="center"/>
              <w:rPr>
                <w:rFonts w:cstheme="minorHAnsi"/>
                <w:color w:val="FFFFFF" w:themeColor="background1"/>
              </w:rPr>
            </w:pPr>
            <w:r w:rsidRPr="00406BF6">
              <w:rPr>
                <w:rFonts w:cstheme="minorHAnsi"/>
                <w:color w:val="FFFFFF" w:themeColor="background1"/>
              </w:rPr>
              <w:t>$ Change</w:t>
            </w:r>
          </w:p>
        </w:tc>
        <w:tc>
          <w:tcPr>
            <w:tcW w:w="999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58CE488A" w14:textId="787306A3" w:rsidR="00406BF6" w:rsidRPr="00406BF6" w:rsidRDefault="00406BF6" w:rsidP="00F71BBF">
            <w:pPr>
              <w:ind w:left="89" w:right="-15"/>
              <w:jc w:val="center"/>
              <w:rPr>
                <w:rFonts w:cstheme="minorHAnsi"/>
                <w:color w:val="FFFFFF" w:themeColor="background1"/>
              </w:rPr>
            </w:pPr>
            <w:r w:rsidRPr="00406BF6">
              <w:rPr>
                <w:rFonts w:cstheme="minorHAnsi"/>
                <w:color w:val="FFFFFF" w:themeColor="background1"/>
              </w:rPr>
              <w:t>% Ch</w:t>
            </w:r>
            <w:r w:rsidR="001D331B">
              <w:rPr>
                <w:rFonts w:cstheme="minorHAnsi"/>
                <w:color w:val="FFFFFF" w:themeColor="background1"/>
              </w:rPr>
              <w:t>n</w:t>
            </w:r>
            <w:r w:rsidRPr="00406BF6">
              <w:rPr>
                <w:rFonts w:cstheme="minorHAnsi"/>
                <w:color w:val="FFFFFF" w:themeColor="background1"/>
              </w:rPr>
              <w:t>g</w:t>
            </w:r>
          </w:p>
        </w:tc>
      </w:tr>
      <w:tr w:rsidR="00D917E3" w:rsidRPr="000A1E2F" w14:paraId="59475810" w14:textId="77777777" w:rsidTr="00EB59A8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592E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Milwaukee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FDAC" w14:textId="7F25AECA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AE2268">
              <w:t xml:space="preserve"> $220,351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7FA9" w14:textId="4B06F1DC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59042F">
              <w:t>235,753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83782" w14:textId="173D28E2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1F23B3">
              <w:t xml:space="preserve"> $15,402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1B64A25" w14:textId="3382E51E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AE79D1">
              <w:t>7.0%</w:t>
            </w:r>
          </w:p>
        </w:tc>
      </w:tr>
      <w:tr w:rsidR="00D917E3" w:rsidRPr="000A1E2F" w14:paraId="6843A0E0" w14:textId="77777777" w:rsidTr="00EB59A8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49DC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Waukesha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53EA" w14:textId="63AF6BA0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AE2268">
              <w:t xml:space="preserve"> $396,288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0D6D" w14:textId="56A5C65B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59042F">
              <w:t>4</w:t>
            </w:r>
            <w:r>
              <w:t>3</w:t>
            </w:r>
            <w:r w:rsidRPr="0059042F">
              <w:t>6,019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AEFEB22" w14:textId="2461DA72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1F23B3">
              <w:t xml:space="preserve"> $39,731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11C5DB3" w14:textId="7168BFD5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AE79D1">
              <w:t>10.0%</w:t>
            </w:r>
          </w:p>
        </w:tc>
      </w:tr>
      <w:tr w:rsidR="00D917E3" w:rsidRPr="000A1E2F" w14:paraId="0F76C63C" w14:textId="77777777" w:rsidTr="00EB59A8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8D2B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Washington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4B4B" w14:textId="5BC0B6DC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AE2268">
              <w:t xml:space="preserve"> $418,176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3736" w14:textId="30B777A3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59042F">
              <w:t>450,059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310F2" w14:textId="57BE543F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1F23B3">
              <w:t xml:space="preserve"> $31,883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52DF758" w14:textId="04C01117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AE79D1">
              <w:t>7.6%</w:t>
            </w:r>
          </w:p>
        </w:tc>
      </w:tr>
      <w:tr w:rsidR="00D917E3" w:rsidRPr="000A1E2F" w14:paraId="0469B379" w14:textId="77777777" w:rsidTr="00EB59A8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A86A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Ozaukee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C253" w14:textId="0B33F8AE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AE2268">
              <w:t xml:space="preserve"> $303,738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F80" w14:textId="0975753F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59042F">
              <w:t>344,101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CA40B4" w14:textId="56BCDB37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1F23B3">
              <w:t xml:space="preserve"> $40,363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A2123DE" w14:textId="0AA93527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AE79D1">
              <w:t>13.3%</w:t>
            </w:r>
          </w:p>
        </w:tc>
      </w:tr>
      <w:tr w:rsidR="00D917E3" w:rsidRPr="000A1E2F" w14:paraId="56C2AB54" w14:textId="77777777" w:rsidTr="00EB59A8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E8CB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Metro Area Avg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AAA9" w14:textId="63D7EE1F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AE2268">
              <w:t xml:space="preserve"> $334,638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D2FD" w14:textId="7A1F9ADF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59042F">
              <w:t>366,483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2F33A" w14:textId="0033B818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1F23B3">
              <w:t xml:space="preserve"> $31,845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EB9BE35" w14:textId="05C21BAA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AE79D1">
              <w:t>9.5%</w:t>
            </w:r>
          </w:p>
        </w:tc>
      </w:tr>
      <w:tr w:rsidR="00406BF6" w:rsidRPr="000A1E2F" w14:paraId="5F5AA5BE" w14:textId="77777777" w:rsidTr="001D331B">
        <w:trPr>
          <w:trHeight w:val="17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9893" w14:textId="77777777" w:rsidR="00406BF6" w:rsidRPr="005D3CB3" w:rsidRDefault="00406BF6" w:rsidP="00F71BBF">
            <w:pPr>
              <w:spacing w:line="252" w:lineRule="auto"/>
              <w:ind w:left="62" w:right="-15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F7D3" w14:textId="77777777" w:rsidR="00406BF6" w:rsidRPr="005D3CB3" w:rsidRDefault="00406BF6" w:rsidP="00F71BBF">
            <w:pPr>
              <w:spacing w:line="252" w:lineRule="auto"/>
              <w:ind w:left="44" w:right="-15"/>
              <w:rPr>
                <w:rFonts w:cstheme="minorHAnsi"/>
                <w:sz w:val="10"/>
                <w:szCs w:val="10"/>
              </w:rPr>
            </w:pPr>
            <w:r w:rsidRPr="005D3CB3">
              <w:rPr>
                <w:rFonts w:cstheme="minorHAnsi"/>
                <w:sz w:val="10"/>
                <w:szCs w:val="1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2AE0" w14:textId="77777777" w:rsidR="00406BF6" w:rsidRPr="005D3CB3" w:rsidRDefault="00406BF6" w:rsidP="00E93491">
            <w:pPr>
              <w:spacing w:line="252" w:lineRule="auto"/>
              <w:ind w:right="-15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9D9A952" w14:textId="77777777" w:rsidR="00406BF6" w:rsidRPr="005D3CB3" w:rsidRDefault="00406BF6" w:rsidP="00F71BBF">
            <w:pPr>
              <w:spacing w:line="252" w:lineRule="auto"/>
              <w:ind w:left="89" w:right="255"/>
              <w:jc w:val="right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E416F60" w14:textId="77777777" w:rsidR="00406BF6" w:rsidRPr="005D3CB3" w:rsidRDefault="00406BF6" w:rsidP="00F71BBF">
            <w:pPr>
              <w:spacing w:line="252" w:lineRule="auto"/>
              <w:ind w:right="255"/>
              <w:jc w:val="right"/>
              <w:rPr>
                <w:rFonts w:cstheme="minorHAnsi"/>
                <w:sz w:val="10"/>
                <w:szCs w:val="10"/>
              </w:rPr>
            </w:pPr>
          </w:p>
        </w:tc>
      </w:tr>
      <w:tr w:rsidR="00D917E3" w:rsidRPr="000A1E2F" w14:paraId="3276ED95" w14:textId="77777777" w:rsidTr="002D4154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4B35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Racine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FA4A" w14:textId="59A9183D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6C065B">
              <w:t xml:space="preserve"> $223,579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87AE" w14:textId="29854490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247188">
              <w:t>245,771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9EACB" w14:textId="3B38EF11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AD5A1E">
              <w:t xml:space="preserve"> $22,192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7311EC9" w14:textId="4F819CD5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160C99">
              <w:t>9.9%</w:t>
            </w:r>
          </w:p>
        </w:tc>
      </w:tr>
      <w:tr w:rsidR="00D917E3" w:rsidRPr="000A1E2F" w14:paraId="52B4956C" w14:textId="77777777" w:rsidTr="002D4154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4639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Kenosha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AB0E" w14:textId="4713B420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6C065B">
              <w:t xml:space="preserve"> $240,375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3AB0" w14:textId="78A42359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247188">
              <w:t>266,410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8A63C7D" w14:textId="12043F39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AD5A1E">
              <w:t xml:space="preserve"> $26,035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C6B7D59" w14:textId="23B69E4A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160C99">
              <w:t>10.8%</w:t>
            </w:r>
          </w:p>
        </w:tc>
      </w:tr>
      <w:tr w:rsidR="00D917E3" w:rsidRPr="000A1E2F" w14:paraId="19048606" w14:textId="77777777" w:rsidTr="002D4154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451F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Walworth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9DE3" w14:textId="59F212E7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6C065B">
              <w:t xml:space="preserve"> $424,856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EF66" w14:textId="4BED01C5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247188">
              <w:t>488,989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EDF0A" w14:textId="6333AA19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AD5A1E">
              <w:t xml:space="preserve"> $64,133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13F6B4F" w14:textId="3C862B48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160C99">
              <w:t>15.1%</w:t>
            </w:r>
          </w:p>
        </w:tc>
      </w:tr>
      <w:tr w:rsidR="00D917E3" w:rsidRPr="000A1E2F" w14:paraId="3B9242FF" w14:textId="77777777" w:rsidTr="002D4154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633A" w14:textId="77777777" w:rsidR="00D917E3" w:rsidRPr="00406BF6" w:rsidRDefault="00D917E3" w:rsidP="00D917E3">
            <w:pPr>
              <w:spacing w:line="252" w:lineRule="auto"/>
              <w:ind w:left="62" w:right="-15"/>
              <w:rPr>
                <w:rFonts w:cstheme="minorHAnsi"/>
              </w:rPr>
            </w:pPr>
            <w:r w:rsidRPr="00406BF6">
              <w:rPr>
                <w:rFonts w:cstheme="minorHAnsi"/>
              </w:rPr>
              <w:t>SE WI Area Avg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9A1C" w14:textId="36CC1B9C" w:rsidR="00D917E3" w:rsidRPr="00406BF6" w:rsidRDefault="00D917E3" w:rsidP="00D917E3">
            <w:pPr>
              <w:spacing w:line="252" w:lineRule="auto"/>
              <w:ind w:left="44" w:right="-15"/>
              <w:rPr>
                <w:rFonts w:cstheme="minorHAnsi"/>
              </w:rPr>
            </w:pPr>
            <w:r w:rsidRPr="006C065B">
              <w:t xml:space="preserve"> $318,195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0F8C" w14:textId="5E69C6E5" w:rsidR="00D917E3" w:rsidRPr="00406BF6" w:rsidRDefault="00D917E3" w:rsidP="00D917E3">
            <w:pPr>
              <w:spacing w:line="252" w:lineRule="auto"/>
              <w:ind w:right="-15"/>
              <w:jc w:val="center"/>
              <w:rPr>
                <w:rFonts w:cstheme="minorHAnsi"/>
              </w:rPr>
            </w:pPr>
            <w:r>
              <w:t>$</w:t>
            </w:r>
            <w:r w:rsidRPr="00247188">
              <w:t>352,443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F432C93" w14:textId="44CB820E" w:rsidR="00D917E3" w:rsidRPr="00406BF6" w:rsidRDefault="00D917E3" w:rsidP="00D917E3">
            <w:pPr>
              <w:spacing w:line="252" w:lineRule="auto"/>
              <w:ind w:left="89" w:right="255"/>
              <w:jc w:val="right"/>
              <w:rPr>
                <w:rFonts w:cstheme="minorHAnsi"/>
              </w:rPr>
            </w:pPr>
            <w:r w:rsidRPr="00AD5A1E">
              <w:t xml:space="preserve"> $34,248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11DE85" w14:textId="1A8E1F48" w:rsidR="00D917E3" w:rsidRPr="00406BF6" w:rsidRDefault="00D917E3" w:rsidP="00D917E3">
            <w:pPr>
              <w:spacing w:line="252" w:lineRule="auto"/>
              <w:ind w:right="255"/>
              <w:jc w:val="right"/>
              <w:rPr>
                <w:rFonts w:cstheme="minorHAnsi"/>
              </w:rPr>
            </w:pPr>
            <w:r w:rsidRPr="00160C99">
              <w:t>10.8%</w:t>
            </w:r>
          </w:p>
        </w:tc>
      </w:tr>
    </w:tbl>
    <w:p w14:paraId="51245C9D" w14:textId="06E913E9" w:rsidR="00F43485" w:rsidRDefault="00F43485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 w:rsidRPr="000A1E2F">
        <w:rPr>
          <w:rFonts w:ascii="Arial" w:hAnsi="Arial" w:cs="Arial"/>
          <w:sz w:val="21"/>
          <w:szCs w:val="21"/>
        </w:rPr>
        <w:t xml:space="preserve">The </w:t>
      </w:r>
      <w:r w:rsidRPr="00214A45">
        <w:rPr>
          <w:rFonts w:ascii="Arial" w:hAnsi="Arial" w:cs="Arial"/>
          <w:b/>
          <w:bCs/>
          <w:sz w:val="21"/>
          <w:szCs w:val="21"/>
        </w:rPr>
        <w:t xml:space="preserve">outlook for the </w:t>
      </w:r>
      <w:r w:rsidR="00634BCB">
        <w:rPr>
          <w:rFonts w:ascii="Arial" w:hAnsi="Arial" w:cs="Arial"/>
          <w:b/>
          <w:bCs/>
          <w:sz w:val="21"/>
          <w:szCs w:val="21"/>
        </w:rPr>
        <w:t xml:space="preserve">rest of the </w:t>
      </w:r>
      <w:r w:rsidR="00214A45" w:rsidRPr="00214A45">
        <w:rPr>
          <w:rFonts w:ascii="Arial" w:hAnsi="Arial" w:cs="Arial"/>
          <w:b/>
          <w:bCs/>
          <w:sz w:val="21"/>
          <w:szCs w:val="21"/>
        </w:rPr>
        <w:t xml:space="preserve">2022 </w:t>
      </w:r>
      <w:r w:rsidRPr="00214A45">
        <w:rPr>
          <w:rFonts w:ascii="Arial" w:hAnsi="Arial" w:cs="Arial"/>
          <w:b/>
          <w:bCs/>
          <w:sz w:val="21"/>
          <w:szCs w:val="21"/>
        </w:rPr>
        <w:t>market is</w:t>
      </w:r>
      <w:r w:rsidR="00BB46BC" w:rsidRPr="00BB46BC">
        <w:rPr>
          <w:rFonts w:ascii="Arial" w:hAnsi="Arial" w:cs="Arial"/>
          <w:sz w:val="21"/>
          <w:szCs w:val="21"/>
        </w:rPr>
        <w:t xml:space="preserve"> </w:t>
      </w:r>
      <w:proofErr w:type="gramStart"/>
      <w:r w:rsidR="00917850">
        <w:rPr>
          <w:rFonts w:ascii="Arial" w:hAnsi="Arial" w:cs="Arial"/>
          <w:b/>
          <w:bCs/>
          <w:sz w:val="21"/>
          <w:szCs w:val="21"/>
        </w:rPr>
        <w:t>very good</w:t>
      </w:r>
      <w:proofErr w:type="gramEnd"/>
      <w:r w:rsidRPr="000A1E2F">
        <w:rPr>
          <w:rFonts w:ascii="Arial" w:hAnsi="Arial" w:cs="Arial"/>
          <w:sz w:val="21"/>
          <w:szCs w:val="21"/>
        </w:rPr>
        <w:t>, but slightly slower</w:t>
      </w:r>
      <w:r w:rsidR="006C03DB">
        <w:rPr>
          <w:rFonts w:ascii="Arial" w:hAnsi="Arial" w:cs="Arial"/>
          <w:sz w:val="21"/>
          <w:szCs w:val="21"/>
        </w:rPr>
        <w:t xml:space="preserve"> than 2021</w:t>
      </w:r>
      <w:r w:rsidRPr="000A1E2F">
        <w:rPr>
          <w:rFonts w:ascii="Arial" w:hAnsi="Arial" w:cs="Arial"/>
          <w:sz w:val="21"/>
          <w:szCs w:val="21"/>
        </w:rPr>
        <w:t xml:space="preserve">. Brokers are </w:t>
      </w:r>
      <w:r w:rsidR="00214A45">
        <w:rPr>
          <w:rFonts w:ascii="Arial" w:hAnsi="Arial" w:cs="Arial"/>
          <w:sz w:val="21"/>
          <w:szCs w:val="21"/>
        </w:rPr>
        <w:t>expecting the spring market to be brisk</w:t>
      </w:r>
      <w:r w:rsidR="00D65070">
        <w:rPr>
          <w:rFonts w:ascii="Arial" w:hAnsi="Arial" w:cs="Arial"/>
          <w:sz w:val="21"/>
          <w:szCs w:val="21"/>
        </w:rPr>
        <w:t>,</w:t>
      </w:r>
      <w:r w:rsidR="00214A45">
        <w:rPr>
          <w:rFonts w:ascii="Arial" w:hAnsi="Arial" w:cs="Arial"/>
          <w:sz w:val="21"/>
          <w:szCs w:val="21"/>
        </w:rPr>
        <w:t xml:space="preserve"> with </w:t>
      </w:r>
      <w:proofErr w:type="gramStart"/>
      <w:r w:rsidR="007E12FC">
        <w:rPr>
          <w:rFonts w:ascii="Arial" w:hAnsi="Arial" w:cs="Arial"/>
          <w:sz w:val="21"/>
          <w:szCs w:val="21"/>
        </w:rPr>
        <w:t>some</w:t>
      </w:r>
      <w:proofErr w:type="gramEnd"/>
      <w:r w:rsidR="007E12FC">
        <w:rPr>
          <w:rFonts w:ascii="Arial" w:hAnsi="Arial" w:cs="Arial"/>
          <w:sz w:val="21"/>
          <w:szCs w:val="21"/>
        </w:rPr>
        <w:t xml:space="preserve"> </w:t>
      </w:r>
      <w:r w:rsidR="006C03DB">
        <w:rPr>
          <w:rFonts w:ascii="Arial" w:hAnsi="Arial" w:cs="Arial"/>
          <w:sz w:val="21"/>
          <w:szCs w:val="21"/>
        </w:rPr>
        <w:t>listings</w:t>
      </w:r>
      <w:r w:rsidRPr="000A1E2F">
        <w:rPr>
          <w:rFonts w:ascii="Arial" w:hAnsi="Arial" w:cs="Arial"/>
          <w:sz w:val="21"/>
          <w:szCs w:val="21"/>
        </w:rPr>
        <w:t xml:space="preserve"> </w:t>
      </w:r>
      <w:r w:rsidR="00634BCB">
        <w:rPr>
          <w:rFonts w:ascii="Arial" w:hAnsi="Arial" w:cs="Arial"/>
          <w:sz w:val="21"/>
          <w:szCs w:val="21"/>
        </w:rPr>
        <w:t xml:space="preserve">continuing to </w:t>
      </w:r>
      <w:r w:rsidR="007E12FC">
        <w:rPr>
          <w:rFonts w:ascii="Arial" w:hAnsi="Arial" w:cs="Arial"/>
          <w:sz w:val="21"/>
          <w:szCs w:val="21"/>
        </w:rPr>
        <w:t>get multiple offers</w:t>
      </w:r>
      <w:r w:rsidR="00FD5A6A">
        <w:rPr>
          <w:rFonts w:ascii="Arial" w:hAnsi="Arial" w:cs="Arial"/>
          <w:sz w:val="21"/>
          <w:szCs w:val="21"/>
        </w:rPr>
        <w:t xml:space="preserve">, but </w:t>
      </w:r>
      <w:r w:rsidR="006C03DB">
        <w:rPr>
          <w:rFonts w:ascii="Arial" w:hAnsi="Arial" w:cs="Arial"/>
          <w:sz w:val="21"/>
          <w:szCs w:val="21"/>
        </w:rPr>
        <w:t xml:space="preserve">overall </w:t>
      </w:r>
      <w:r w:rsidR="00214A45">
        <w:rPr>
          <w:rFonts w:ascii="Arial" w:hAnsi="Arial" w:cs="Arial"/>
          <w:sz w:val="21"/>
          <w:szCs w:val="21"/>
        </w:rPr>
        <w:t>not as intense a</w:t>
      </w:r>
      <w:r w:rsidR="00FD5A6A">
        <w:rPr>
          <w:rFonts w:ascii="Arial" w:hAnsi="Arial" w:cs="Arial"/>
          <w:sz w:val="21"/>
          <w:szCs w:val="21"/>
        </w:rPr>
        <w:t>s</w:t>
      </w:r>
      <w:r w:rsidR="00634BCB">
        <w:rPr>
          <w:rFonts w:ascii="Arial" w:hAnsi="Arial" w:cs="Arial"/>
          <w:sz w:val="21"/>
          <w:szCs w:val="21"/>
        </w:rPr>
        <w:t xml:space="preserve"> 2021</w:t>
      </w:r>
      <w:r w:rsidR="00FD5A6A">
        <w:rPr>
          <w:rFonts w:ascii="Arial" w:hAnsi="Arial" w:cs="Arial"/>
          <w:sz w:val="21"/>
          <w:szCs w:val="21"/>
        </w:rPr>
        <w:t>.</w:t>
      </w:r>
      <w:r w:rsidR="00E559AE">
        <w:rPr>
          <w:rFonts w:ascii="Arial" w:hAnsi="Arial" w:cs="Arial"/>
          <w:sz w:val="21"/>
          <w:szCs w:val="21"/>
        </w:rPr>
        <w:t xml:space="preserve"> </w:t>
      </w:r>
    </w:p>
    <w:p w14:paraId="6F41BD7A" w14:textId="480EDC78" w:rsidR="00214A45" w:rsidRDefault="00214A45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1B5ED74D" w14:textId="71833A9D" w:rsidR="00D8709F" w:rsidRDefault="006C03DB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2019 housing market </w:t>
      </w:r>
      <w:r w:rsidR="00BB46BC">
        <w:rPr>
          <w:rFonts w:ascii="Arial" w:hAnsi="Arial" w:cs="Arial"/>
          <w:sz w:val="21"/>
          <w:szCs w:val="21"/>
        </w:rPr>
        <w:t xml:space="preserve">may be a good model for </w:t>
      </w:r>
      <w:r w:rsidR="00CB0548">
        <w:rPr>
          <w:rFonts w:ascii="Arial" w:hAnsi="Arial" w:cs="Arial"/>
          <w:sz w:val="21"/>
          <w:szCs w:val="21"/>
        </w:rPr>
        <w:t>Metropolitan Milwaukee</w:t>
      </w:r>
      <w:r w:rsidR="00BB46BC">
        <w:rPr>
          <w:rFonts w:ascii="Arial" w:hAnsi="Arial" w:cs="Arial"/>
          <w:sz w:val="21"/>
          <w:szCs w:val="21"/>
        </w:rPr>
        <w:t xml:space="preserve"> </w:t>
      </w:r>
      <w:r w:rsidR="00F0620C">
        <w:rPr>
          <w:rFonts w:ascii="Arial" w:hAnsi="Arial" w:cs="Arial"/>
          <w:sz w:val="21"/>
          <w:szCs w:val="21"/>
        </w:rPr>
        <w:t xml:space="preserve">in 2022, when the market just topped 21,000 unit sales. Price appreciation will </w:t>
      </w:r>
      <w:proofErr w:type="gramStart"/>
      <w:r w:rsidR="00F0620C">
        <w:rPr>
          <w:rFonts w:ascii="Arial" w:hAnsi="Arial" w:cs="Arial"/>
          <w:sz w:val="21"/>
          <w:szCs w:val="21"/>
        </w:rPr>
        <w:t>most likely cool</w:t>
      </w:r>
      <w:proofErr w:type="gramEnd"/>
      <w:r w:rsidR="00F0620C">
        <w:rPr>
          <w:rFonts w:ascii="Arial" w:hAnsi="Arial" w:cs="Arial"/>
          <w:sz w:val="21"/>
          <w:szCs w:val="21"/>
        </w:rPr>
        <w:t xml:space="preserve"> a bit as well, </w:t>
      </w:r>
      <w:r w:rsidR="00526C79">
        <w:rPr>
          <w:rFonts w:ascii="Arial" w:hAnsi="Arial" w:cs="Arial"/>
          <w:sz w:val="21"/>
          <w:szCs w:val="21"/>
        </w:rPr>
        <w:t>staying out of double-digit range and settling in around 3% - 5%</w:t>
      </w:r>
      <w:r w:rsidR="00C14C58">
        <w:rPr>
          <w:rFonts w:ascii="Arial" w:hAnsi="Arial" w:cs="Arial"/>
          <w:sz w:val="21"/>
          <w:szCs w:val="21"/>
        </w:rPr>
        <w:t>.</w:t>
      </w:r>
      <w:r w:rsidR="00D8709F" w:rsidRPr="000A1E2F">
        <w:rPr>
          <w:rFonts w:ascii="Arial" w:hAnsi="Arial" w:cs="Arial"/>
          <w:sz w:val="21"/>
          <w:szCs w:val="21"/>
        </w:rPr>
        <w:t xml:space="preserve"> </w:t>
      </w:r>
      <w:r w:rsidR="00CB0548">
        <w:rPr>
          <w:rFonts w:ascii="Arial" w:hAnsi="Arial" w:cs="Arial"/>
          <w:sz w:val="21"/>
          <w:szCs w:val="21"/>
        </w:rPr>
        <w:t>Even with a slightly slower market, t</w:t>
      </w:r>
      <w:r w:rsidR="00BB46BC">
        <w:rPr>
          <w:rFonts w:ascii="Arial" w:hAnsi="Arial" w:cs="Arial"/>
          <w:sz w:val="21"/>
          <w:szCs w:val="21"/>
        </w:rPr>
        <w:t xml:space="preserve">he availability of listings will continue to be the biggest obstacle for potential buyers to contend with this year. </w:t>
      </w:r>
    </w:p>
    <w:p w14:paraId="1796AB59" w14:textId="665E6C6E" w:rsidR="00E559AE" w:rsidRDefault="00E559AE" w:rsidP="000A1E2F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6367EF38" w14:textId="04AFBC61" w:rsidR="00E559AE" w:rsidRPr="003F1A08" w:rsidRDefault="00E559AE" w:rsidP="00E559AE">
      <w:pPr>
        <w:spacing w:before="120" w:after="120" w:line="300" w:lineRule="auto"/>
        <w:ind w:left="-360" w:right="-360"/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3F1A08">
        <w:rPr>
          <w:rFonts w:ascii="Arial" w:hAnsi="Arial" w:cs="Arial"/>
          <w:b/>
          <w:bCs/>
          <w:sz w:val="21"/>
          <w:szCs w:val="21"/>
          <w:u w:val="single"/>
        </w:rPr>
        <w:t>Where to go</w:t>
      </w:r>
    </w:p>
    <w:p w14:paraId="255116CE" w14:textId="213792D8" w:rsidR="00E559AE" w:rsidRPr="003F1A08" w:rsidRDefault="00E559AE" w:rsidP="00E559AE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 w:rsidRPr="003F1A08">
        <w:rPr>
          <w:rFonts w:ascii="Arial" w:hAnsi="Arial" w:cs="Arial"/>
          <w:sz w:val="21"/>
          <w:szCs w:val="21"/>
        </w:rPr>
        <w:t>Buyers should seek the counsel of a REALTOR® in determining their best housing options, and sellers need a REALTORS® expert advice in making correct marketing decisions with their homes.</w:t>
      </w:r>
    </w:p>
    <w:p w14:paraId="32E4A00C" w14:textId="1CD25644" w:rsidR="00E559AE" w:rsidRPr="003F1A08" w:rsidRDefault="00E559AE" w:rsidP="00E559AE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07DCC394" w14:textId="21D86D62" w:rsidR="00E559AE" w:rsidRPr="003F1A08" w:rsidRDefault="00E559AE" w:rsidP="00E559AE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  <w:r w:rsidRPr="003F1A08">
        <w:rPr>
          <w:rFonts w:ascii="Arial" w:hAnsi="Arial" w:cs="Arial"/>
          <w:sz w:val="21"/>
          <w:szCs w:val="21"/>
        </w:rPr>
        <w:t>The Greater Milwaukee Association of REALTORS</w:t>
      </w:r>
      <w:r w:rsidRPr="003F1A08">
        <w:rPr>
          <w:rFonts w:ascii="Arial" w:hAnsi="Arial" w:cs="Arial"/>
          <w:sz w:val="21"/>
          <w:szCs w:val="21"/>
          <w:vertAlign w:val="superscript"/>
        </w:rPr>
        <w:t>®</w:t>
      </w:r>
      <w:r w:rsidRPr="003F1A08">
        <w:rPr>
          <w:rFonts w:ascii="Arial" w:hAnsi="Arial" w:cs="Arial"/>
          <w:sz w:val="21"/>
          <w:szCs w:val="21"/>
        </w:rPr>
        <w:t xml:space="preserve"> is a 5,000</w:t>
      </w:r>
      <w:r w:rsidR="00634BCB">
        <w:rPr>
          <w:rFonts w:ascii="Arial" w:hAnsi="Arial" w:cs="Arial"/>
          <w:sz w:val="21"/>
          <w:szCs w:val="21"/>
        </w:rPr>
        <w:t xml:space="preserve">+ </w:t>
      </w:r>
      <w:r w:rsidRPr="003F1A08">
        <w:rPr>
          <w:rFonts w:ascii="Arial" w:hAnsi="Arial" w:cs="Arial"/>
          <w:sz w:val="21"/>
          <w:szCs w:val="21"/>
        </w:rPr>
        <w:t>member strong professional organization dedicated to providing information, services, and products to help REALTORS</w:t>
      </w:r>
      <w:r w:rsidRPr="003F1A08">
        <w:rPr>
          <w:rFonts w:ascii="Arial" w:hAnsi="Arial" w:cs="Arial"/>
          <w:sz w:val="21"/>
          <w:szCs w:val="21"/>
          <w:vertAlign w:val="superscript"/>
        </w:rPr>
        <w:t>®</w:t>
      </w:r>
      <w:r w:rsidRPr="003F1A08">
        <w:rPr>
          <w:rFonts w:ascii="Arial" w:hAnsi="Arial" w:cs="Arial"/>
          <w:sz w:val="21"/>
          <w:szCs w:val="21"/>
        </w:rPr>
        <w:t xml:space="preserve"> help their clients buy and sell real estate. Data for this report was collected by Metro MLS, Inc. a </w:t>
      </w:r>
      <w:proofErr w:type="gramStart"/>
      <w:r w:rsidRPr="003F1A08">
        <w:rPr>
          <w:rFonts w:ascii="Arial" w:hAnsi="Arial" w:cs="Arial"/>
          <w:sz w:val="21"/>
          <w:szCs w:val="21"/>
        </w:rPr>
        <w:t>wholly owned</w:t>
      </w:r>
      <w:proofErr w:type="gramEnd"/>
      <w:r w:rsidRPr="003F1A08">
        <w:rPr>
          <w:rFonts w:ascii="Arial" w:hAnsi="Arial" w:cs="Arial"/>
          <w:sz w:val="21"/>
          <w:szCs w:val="21"/>
        </w:rPr>
        <w:t xml:space="preserve"> subsidiary of the GMAR.</w:t>
      </w:r>
    </w:p>
    <w:p w14:paraId="3B47C8BA" w14:textId="13795EB9" w:rsidR="00E559AE" w:rsidRPr="003F1A08" w:rsidRDefault="00E559AE" w:rsidP="00E559AE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1"/>
          <w:szCs w:val="21"/>
        </w:rPr>
      </w:pPr>
    </w:p>
    <w:p w14:paraId="44EEFB80" w14:textId="7888E240" w:rsidR="00E559AE" w:rsidRPr="003F1A08" w:rsidRDefault="00E559AE" w:rsidP="00E559AE">
      <w:pPr>
        <w:spacing w:before="120" w:after="120" w:line="300" w:lineRule="auto"/>
        <w:ind w:left="-360" w:right="-360"/>
        <w:contextualSpacing/>
        <w:jc w:val="both"/>
        <w:rPr>
          <w:rFonts w:ascii="Arial" w:hAnsi="Arial" w:cs="Arial"/>
          <w:sz w:val="18"/>
          <w:szCs w:val="18"/>
        </w:rPr>
      </w:pPr>
      <w:r w:rsidRPr="003F1A08">
        <w:rPr>
          <w:rFonts w:ascii="Arial" w:hAnsi="Arial" w:cs="Arial"/>
          <w:sz w:val="18"/>
          <w:szCs w:val="18"/>
        </w:rPr>
        <w:t>* Sales and Listing figures differ between the “Monthly Stats” and quarter or year-end numbers, because the collection of Monthly Stats ends on the 10</w:t>
      </w:r>
      <w:r w:rsidRPr="003F1A08">
        <w:rPr>
          <w:rFonts w:ascii="Arial" w:hAnsi="Arial" w:cs="Arial"/>
          <w:sz w:val="18"/>
          <w:szCs w:val="18"/>
          <w:vertAlign w:val="superscript"/>
        </w:rPr>
        <w:t>th</w:t>
      </w:r>
      <w:r w:rsidRPr="003F1A08">
        <w:rPr>
          <w:rFonts w:ascii="Arial" w:hAnsi="Arial" w:cs="Arial"/>
          <w:sz w:val="18"/>
          <w:szCs w:val="18"/>
        </w:rPr>
        <w:t xml:space="preserve"> of each month, whereas quarters are a continuous tally to 12/31</w:t>
      </w:r>
      <w:proofErr w:type="gramStart"/>
      <w:r w:rsidRPr="003F1A08">
        <w:rPr>
          <w:rFonts w:ascii="Arial" w:hAnsi="Arial" w:cs="Arial"/>
          <w:sz w:val="18"/>
          <w:szCs w:val="18"/>
        </w:rPr>
        <w:t xml:space="preserve">.  </w:t>
      </w:r>
      <w:proofErr w:type="gramEnd"/>
      <w:r w:rsidRPr="003F1A08">
        <w:rPr>
          <w:rFonts w:ascii="Arial" w:hAnsi="Arial" w:cs="Arial"/>
          <w:sz w:val="18"/>
          <w:szCs w:val="18"/>
        </w:rPr>
        <w:t>For example, if a sale occurred on July 29</w:t>
      </w:r>
      <w:r w:rsidRPr="003F1A08">
        <w:rPr>
          <w:rFonts w:ascii="Arial" w:hAnsi="Arial" w:cs="Arial"/>
          <w:sz w:val="18"/>
          <w:szCs w:val="18"/>
          <w:vertAlign w:val="superscript"/>
        </w:rPr>
        <w:t>th</w:t>
      </w:r>
      <w:r w:rsidRPr="003F1A08">
        <w:rPr>
          <w:rFonts w:ascii="Arial" w:hAnsi="Arial" w:cs="Arial"/>
          <w:sz w:val="18"/>
          <w:szCs w:val="18"/>
        </w:rPr>
        <w:t>, but an agent does not record the sale until August 5</w:t>
      </w:r>
      <w:r w:rsidRPr="003F1A08">
        <w:rPr>
          <w:rFonts w:ascii="Arial" w:hAnsi="Arial" w:cs="Arial"/>
          <w:sz w:val="18"/>
          <w:szCs w:val="18"/>
          <w:vertAlign w:val="superscript"/>
        </w:rPr>
        <w:t>th</w:t>
      </w:r>
      <w:r w:rsidRPr="003F1A08">
        <w:rPr>
          <w:rFonts w:ascii="Arial" w:hAnsi="Arial" w:cs="Arial"/>
          <w:sz w:val="18"/>
          <w:szCs w:val="18"/>
        </w:rPr>
        <w:t xml:space="preserve">, that sale would not </w:t>
      </w:r>
      <w:proofErr w:type="gramStart"/>
      <w:r w:rsidRPr="003F1A08">
        <w:rPr>
          <w:rFonts w:ascii="Arial" w:hAnsi="Arial" w:cs="Arial"/>
          <w:sz w:val="18"/>
          <w:szCs w:val="18"/>
        </w:rPr>
        <w:t>be included</w:t>
      </w:r>
      <w:proofErr w:type="gramEnd"/>
      <w:r w:rsidRPr="003F1A08">
        <w:rPr>
          <w:rFonts w:ascii="Arial" w:hAnsi="Arial" w:cs="Arial"/>
          <w:sz w:val="18"/>
          <w:szCs w:val="18"/>
        </w:rPr>
        <w:t xml:space="preserve"> in the July sales figures (or any subsequent month’s total) but would be added to the quarterly and annual total sales figures. </w:t>
      </w:r>
    </w:p>
    <w:p w14:paraId="1F33316C" w14:textId="3B6B80E0" w:rsidR="00E559AE" w:rsidRPr="003F1A08" w:rsidRDefault="00E559AE" w:rsidP="00E559AE">
      <w:pPr>
        <w:spacing w:before="120" w:after="120" w:line="300" w:lineRule="auto"/>
        <w:ind w:left="-360" w:right="-360"/>
        <w:contextualSpacing/>
        <w:jc w:val="both"/>
        <w:rPr>
          <w:rFonts w:ascii="Arial" w:hAnsi="Arial" w:cs="Arial"/>
          <w:sz w:val="18"/>
          <w:szCs w:val="18"/>
        </w:rPr>
      </w:pPr>
    </w:p>
    <w:p w14:paraId="09FBC07F" w14:textId="6EF30591" w:rsidR="00E559AE" w:rsidRDefault="00E559AE" w:rsidP="00E559AE">
      <w:pPr>
        <w:spacing w:before="120" w:after="120" w:line="300" w:lineRule="auto"/>
        <w:ind w:left="-360" w:right="-360"/>
        <w:contextualSpacing/>
        <w:jc w:val="both"/>
        <w:rPr>
          <w:rFonts w:ascii="Arial" w:hAnsi="Arial" w:cs="Arial"/>
          <w:sz w:val="18"/>
          <w:szCs w:val="18"/>
        </w:rPr>
      </w:pPr>
      <w:r w:rsidRPr="003F1A08">
        <w:rPr>
          <w:rFonts w:ascii="Arial" w:hAnsi="Arial" w:cs="Arial"/>
          <w:sz w:val="18"/>
          <w:szCs w:val="18"/>
        </w:rPr>
        <w:t xml:space="preserve">** All references to the “metropolitan” area denotes the </w:t>
      </w:r>
      <w:proofErr w:type="gramStart"/>
      <w:r w:rsidRPr="003F1A08">
        <w:rPr>
          <w:rFonts w:ascii="Arial" w:hAnsi="Arial" w:cs="Arial"/>
          <w:sz w:val="18"/>
          <w:szCs w:val="18"/>
        </w:rPr>
        <w:t>4</w:t>
      </w:r>
      <w:proofErr w:type="gramEnd"/>
      <w:r w:rsidRPr="003F1A08">
        <w:rPr>
          <w:rFonts w:ascii="Arial" w:hAnsi="Arial" w:cs="Arial"/>
          <w:sz w:val="18"/>
          <w:szCs w:val="18"/>
        </w:rPr>
        <w:t xml:space="preserve"> counties of Milwaukee, Waukesha, Ozaukee, and Washington Counties. The “region” or “Southeast Wisconsin” refers to the </w:t>
      </w:r>
      <w:proofErr w:type="gramStart"/>
      <w:r w:rsidRPr="003F1A08">
        <w:rPr>
          <w:rFonts w:ascii="Arial" w:hAnsi="Arial" w:cs="Arial"/>
          <w:sz w:val="18"/>
          <w:szCs w:val="18"/>
        </w:rPr>
        <w:t>4</w:t>
      </w:r>
      <w:proofErr w:type="gramEnd"/>
      <w:r w:rsidRPr="003F1A08">
        <w:rPr>
          <w:rFonts w:ascii="Arial" w:hAnsi="Arial" w:cs="Arial"/>
          <w:sz w:val="18"/>
          <w:szCs w:val="18"/>
        </w:rPr>
        <w:t xml:space="preserve"> metropolitan counties (Milwaukee, Waukesha, Ozaukee, and Washington), plus the 3 counties</w:t>
      </w:r>
      <w:r w:rsidR="009F07DA">
        <w:rPr>
          <w:rFonts w:ascii="Arial" w:hAnsi="Arial" w:cs="Arial"/>
          <w:sz w:val="18"/>
          <w:szCs w:val="18"/>
        </w:rPr>
        <w:t xml:space="preserve"> of</w:t>
      </w:r>
      <w:r w:rsidRPr="003F1A08">
        <w:rPr>
          <w:rFonts w:ascii="Arial" w:hAnsi="Arial" w:cs="Arial"/>
          <w:sz w:val="18"/>
          <w:szCs w:val="18"/>
        </w:rPr>
        <w:t xml:space="preserve"> Racine, Kenosha, and Walworth Counties</w:t>
      </w:r>
      <w:r w:rsidR="009F07DA" w:rsidRPr="009F07DA">
        <w:rPr>
          <w:rFonts w:ascii="Arial" w:hAnsi="Arial" w:cs="Arial"/>
          <w:sz w:val="18"/>
          <w:szCs w:val="18"/>
        </w:rPr>
        <w:t xml:space="preserve"> </w:t>
      </w:r>
      <w:r w:rsidR="009F07DA" w:rsidRPr="003F1A08">
        <w:rPr>
          <w:rFonts w:ascii="Arial" w:hAnsi="Arial" w:cs="Arial"/>
          <w:sz w:val="18"/>
          <w:szCs w:val="18"/>
        </w:rPr>
        <w:t>to the south</w:t>
      </w:r>
      <w:r w:rsidR="009F07DA">
        <w:rPr>
          <w:rFonts w:ascii="Arial" w:hAnsi="Arial" w:cs="Arial"/>
          <w:sz w:val="18"/>
          <w:szCs w:val="18"/>
        </w:rPr>
        <w:t xml:space="preserve">. </w:t>
      </w:r>
    </w:p>
    <w:p w14:paraId="73926187" w14:textId="51B47D44" w:rsidR="00D917E3" w:rsidRDefault="00D917E3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A148DD3" w14:textId="15561403" w:rsidR="00E559AE" w:rsidRDefault="00D917E3" w:rsidP="00D917E3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24A6B51" wp14:editId="506D2092">
            <wp:extent cx="5486400" cy="356616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741E64" w14:textId="050658F3" w:rsidR="005031AD" w:rsidRPr="00D010BD" w:rsidRDefault="005031AD" w:rsidP="005031AD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  <w:r w:rsidRPr="00D010BD">
        <w:rPr>
          <w:rFonts w:ascii="Arial" w:hAnsi="Arial" w:cs="Arial"/>
          <w:sz w:val="20"/>
          <w:szCs w:val="20"/>
        </w:rPr>
        <w:t xml:space="preserve">Seasonally adjusted </w:t>
      </w:r>
      <w:r w:rsidRPr="00D010BD">
        <w:rPr>
          <w:rFonts w:ascii="Arial" w:hAnsi="Arial" w:cs="Arial"/>
          <w:b/>
          <w:bCs/>
          <w:sz w:val="20"/>
          <w:szCs w:val="20"/>
        </w:rPr>
        <w:t>inventory</w:t>
      </w:r>
      <w:r w:rsidRPr="00D010B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10BD">
        <w:rPr>
          <w:rFonts w:ascii="Arial" w:hAnsi="Arial" w:cs="Arial"/>
          <w:sz w:val="20"/>
          <w:szCs w:val="20"/>
        </w:rPr>
        <w:t>is calculated</w:t>
      </w:r>
      <w:proofErr w:type="gramEnd"/>
      <w:r w:rsidRPr="00D010BD">
        <w:rPr>
          <w:rFonts w:ascii="Arial" w:hAnsi="Arial" w:cs="Arial"/>
          <w:sz w:val="20"/>
          <w:szCs w:val="20"/>
        </w:rPr>
        <w:t xml:space="preserve"> by taking the homes available for sale in each month and comparing them to the past 12 months’ average sales. This tells us how </w:t>
      </w:r>
      <w:proofErr w:type="gramStart"/>
      <w:r w:rsidRPr="00D010BD">
        <w:rPr>
          <w:rFonts w:ascii="Arial" w:hAnsi="Arial" w:cs="Arial"/>
          <w:sz w:val="20"/>
          <w:szCs w:val="20"/>
        </w:rPr>
        <w:t>many</w:t>
      </w:r>
      <w:proofErr w:type="gramEnd"/>
      <w:r w:rsidRPr="00D010BD">
        <w:rPr>
          <w:rFonts w:ascii="Arial" w:hAnsi="Arial" w:cs="Arial"/>
          <w:sz w:val="20"/>
          <w:szCs w:val="20"/>
        </w:rPr>
        <w:t xml:space="preserve"> months it would take to sell the existing homes on the market. The seasonally adjusted </w:t>
      </w:r>
      <w:r w:rsidRPr="00D010BD">
        <w:rPr>
          <w:rFonts w:ascii="Arial" w:hAnsi="Arial" w:cs="Arial"/>
          <w:b/>
          <w:bCs/>
          <w:sz w:val="20"/>
          <w:szCs w:val="20"/>
        </w:rPr>
        <w:t xml:space="preserve">inventory level for </w:t>
      </w:r>
      <w:r w:rsidR="00F51F35">
        <w:rPr>
          <w:rFonts w:ascii="Arial" w:hAnsi="Arial" w:cs="Arial"/>
          <w:b/>
          <w:bCs/>
          <w:sz w:val="20"/>
          <w:szCs w:val="20"/>
        </w:rPr>
        <w:t>March</w:t>
      </w:r>
      <w:r w:rsidRPr="00D010BD">
        <w:rPr>
          <w:rFonts w:ascii="Arial" w:hAnsi="Arial" w:cs="Arial"/>
          <w:b/>
          <w:bCs/>
          <w:sz w:val="20"/>
          <w:szCs w:val="20"/>
        </w:rPr>
        <w:t xml:space="preserve"> was </w:t>
      </w:r>
      <w:r>
        <w:rPr>
          <w:rFonts w:ascii="Arial" w:hAnsi="Arial" w:cs="Arial"/>
          <w:b/>
          <w:bCs/>
          <w:sz w:val="20"/>
          <w:szCs w:val="20"/>
        </w:rPr>
        <w:t>1.</w:t>
      </w:r>
      <w:r w:rsidR="00F51F35">
        <w:rPr>
          <w:rFonts w:ascii="Arial" w:hAnsi="Arial" w:cs="Arial"/>
          <w:b/>
          <w:bCs/>
          <w:sz w:val="20"/>
          <w:szCs w:val="20"/>
        </w:rPr>
        <w:t>9</w:t>
      </w:r>
      <w:r w:rsidRPr="00D010BD">
        <w:rPr>
          <w:rFonts w:ascii="Arial" w:hAnsi="Arial" w:cs="Arial"/>
          <w:b/>
          <w:bCs/>
          <w:sz w:val="20"/>
          <w:szCs w:val="20"/>
        </w:rPr>
        <w:t xml:space="preserve"> months</w:t>
      </w:r>
      <w:r w:rsidRPr="00D010BD">
        <w:rPr>
          <w:rFonts w:ascii="Arial" w:hAnsi="Arial" w:cs="Arial"/>
          <w:sz w:val="20"/>
          <w:szCs w:val="20"/>
        </w:rPr>
        <w:t xml:space="preserve">. </w:t>
      </w:r>
    </w:p>
    <w:p w14:paraId="6BBED856" w14:textId="77777777" w:rsidR="005031AD" w:rsidRPr="00D010BD" w:rsidRDefault="005031AD" w:rsidP="005031AD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</w:p>
    <w:p w14:paraId="555EC20D" w14:textId="0E52E948" w:rsidR="00526C79" w:rsidRPr="005031AD" w:rsidRDefault="005031AD" w:rsidP="005031AD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010BD">
        <w:rPr>
          <w:rFonts w:ascii="Arial" w:hAnsi="Arial" w:cs="Arial"/>
          <w:sz w:val="20"/>
          <w:szCs w:val="20"/>
        </w:rPr>
        <w:t>ubtract</w:t>
      </w:r>
      <w:r>
        <w:rPr>
          <w:rFonts w:ascii="Arial" w:hAnsi="Arial" w:cs="Arial"/>
          <w:sz w:val="20"/>
          <w:szCs w:val="20"/>
        </w:rPr>
        <w:t>ing</w:t>
      </w:r>
      <w:r w:rsidRPr="00D010BD">
        <w:rPr>
          <w:rFonts w:ascii="Arial" w:hAnsi="Arial" w:cs="Arial"/>
          <w:sz w:val="20"/>
          <w:szCs w:val="20"/>
        </w:rPr>
        <w:t xml:space="preserve"> listings that have an “active offer” from those available for sale (about 80% of listings with an offer turn into a sale), </w:t>
      </w:r>
      <w:r>
        <w:rPr>
          <w:rFonts w:ascii="Arial" w:hAnsi="Arial" w:cs="Arial"/>
          <w:sz w:val="20"/>
          <w:szCs w:val="20"/>
        </w:rPr>
        <w:t xml:space="preserve">provides </w:t>
      </w:r>
      <w:r w:rsidRPr="00D010BD">
        <w:rPr>
          <w:rFonts w:ascii="Arial" w:hAnsi="Arial" w:cs="Arial"/>
          <w:sz w:val="20"/>
          <w:szCs w:val="20"/>
        </w:rPr>
        <w:t>a unique perspective o</w:t>
      </w:r>
      <w:r>
        <w:rPr>
          <w:rFonts w:ascii="Arial" w:hAnsi="Arial" w:cs="Arial"/>
          <w:sz w:val="20"/>
          <w:szCs w:val="20"/>
        </w:rPr>
        <w:t>n</w:t>
      </w:r>
      <w:r w:rsidRPr="00D010BD">
        <w:rPr>
          <w:rFonts w:ascii="Arial" w:hAnsi="Arial" w:cs="Arial"/>
          <w:sz w:val="20"/>
          <w:szCs w:val="20"/>
        </w:rPr>
        <w:t xml:space="preserve"> the quantity of homes available for sale. Subtracting listings with an active offer from total listings, yields </w:t>
      </w:r>
      <w:r w:rsidR="00F51F35" w:rsidRPr="00F51F35">
        <w:rPr>
          <w:rFonts w:ascii="Arial" w:hAnsi="Arial" w:cs="Arial"/>
          <w:b/>
          <w:bCs/>
          <w:sz w:val="20"/>
          <w:szCs w:val="20"/>
        </w:rPr>
        <w:t>3</w:t>
      </w:r>
      <w:r w:rsidRPr="00F51F35">
        <w:rPr>
          <w:rFonts w:ascii="Arial" w:hAnsi="Arial" w:cs="Arial"/>
          <w:b/>
          <w:bCs/>
          <w:sz w:val="20"/>
          <w:szCs w:val="20"/>
        </w:rPr>
        <w:t>,</w:t>
      </w:r>
      <w:r w:rsidR="00F51F35">
        <w:rPr>
          <w:rFonts w:ascii="Arial" w:hAnsi="Arial" w:cs="Arial"/>
          <w:b/>
          <w:bCs/>
          <w:sz w:val="20"/>
          <w:szCs w:val="20"/>
        </w:rPr>
        <w:t>159</w:t>
      </w:r>
      <w:r w:rsidRPr="00D010BD">
        <w:rPr>
          <w:rFonts w:ascii="Arial" w:hAnsi="Arial" w:cs="Arial"/>
          <w:b/>
          <w:bCs/>
          <w:sz w:val="20"/>
          <w:szCs w:val="20"/>
        </w:rPr>
        <w:t xml:space="preserve"> listings, which equals 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D010BD">
        <w:rPr>
          <w:rFonts w:ascii="Arial" w:hAnsi="Arial" w:cs="Arial"/>
          <w:b/>
          <w:bCs/>
          <w:sz w:val="20"/>
          <w:szCs w:val="20"/>
        </w:rPr>
        <w:t>.</w:t>
      </w:r>
      <w:r w:rsidR="00F51F35">
        <w:rPr>
          <w:rFonts w:ascii="Arial" w:hAnsi="Arial" w:cs="Arial"/>
          <w:b/>
          <w:bCs/>
          <w:sz w:val="20"/>
          <w:szCs w:val="20"/>
        </w:rPr>
        <w:t>7</w:t>
      </w:r>
      <w:r w:rsidRPr="00D010BD">
        <w:rPr>
          <w:rFonts w:ascii="Arial" w:hAnsi="Arial" w:cs="Arial"/>
          <w:b/>
          <w:bCs/>
          <w:sz w:val="20"/>
          <w:szCs w:val="20"/>
        </w:rPr>
        <w:t xml:space="preserve"> month</w:t>
      </w:r>
      <w:r w:rsidR="00F51F35">
        <w:rPr>
          <w:rFonts w:ascii="Arial" w:hAnsi="Arial" w:cs="Arial"/>
          <w:b/>
          <w:bCs/>
          <w:sz w:val="20"/>
          <w:szCs w:val="20"/>
        </w:rPr>
        <w:t>s</w:t>
      </w:r>
      <w:r w:rsidRPr="00D010BD">
        <w:rPr>
          <w:rFonts w:ascii="Arial" w:hAnsi="Arial" w:cs="Arial"/>
          <w:b/>
          <w:bCs/>
          <w:sz w:val="20"/>
          <w:szCs w:val="20"/>
        </w:rPr>
        <w:t xml:space="preserve"> of inventory.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6AF8E2" w14:textId="29398CE0" w:rsidR="0080655E" w:rsidRDefault="009F07DA" w:rsidP="00526C79">
      <w:pPr>
        <w:spacing w:before="120" w:after="120" w:line="300" w:lineRule="auto"/>
        <w:ind w:left="-360" w:right="-360"/>
        <w:contextualSpacing/>
        <w:jc w:val="center"/>
        <w:rPr>
          <w:noProof/>
          <w:sz w:val="20"/>
          <w:szCs w:val="20"/>
          <w:shd w:val="clear" w:color="auto" w:fill="002060"/>
        </w:rPr>
      </w:pPr>
      <w:r>
        <w:rPr>
          <w:noProof/>
        </w:rPr>
        <w:drawing>
          <wp:inline distT="0" distB="0" distL="0" distR="0" wp14:anchorId="1FDE4079" wp14:editId="79DA97BD">
            <wp:extent cx="5338234" cy="356616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End w:id="0"/>
    <w:p w14:paraId="60CE3F68" w14:textId="7625E4AE" w:rsidR="00FD6F12" w:rsidRDefault="005031AD" w:rsidP="005031AD">
      <w:pPr>
        <w:spacing w:after="160" w:line="259" w:lineRule="auto"/>
        <w:rPr>
          <w:noProof/>
        </w:rPr>
      </w:pPr>
      <w:r w:rsidRPr="00722A43">
        <w:rPr>
          <w:rFonts w:ascii="Arial" w:hAnsi="Arial" w:cs="Arial"/>
          <w:sz w:val="20"/>
          <w:szCs w:val="20"/>
        </w:rPr>
        <w:t>Six</w:t>
      </w:r>
      <w:r w:rsidRPr="00722A43">
        <w:rPr>
          <w:rFonts w:ascii="Arial" w:hAnsi="Arial" w:cs="Arial"/>
          <w:b/>
          <w:bCs/>
          <w:sz w:val="20"/>
          <w:szCs w:val="20"/>
        </w:rPr>
        <w:t xml:space="preserve"> months of inventory </w:t>
      </w:r>
      <w:proofErr w:type="gramStart"/>
      <w:r w:rsidRPr="00722A43">
        <w:rPr>
          <w:rFonts w:ascii="Arial" w:hAnsi="Arial" w:cs="Arial"/>
          <w:b/>
          <w:bCs/>
          <w:sz w:val="20"/>
          <w:szCs w:val="20"/>
        </w:rPr>
        <w:t>is considered</w:t>
      </w:r>
      <w:proofErr w:type="gramEnd"/>
      <w:r w:rsidRPr="00722A43">
        <w:rPr>
          <w:rFonts w:ascii="Arial" w:hAnsi="Arial" w:cs="Arial"/>
          <w:b/>
          <w:bCs/>
          <w:sz w:val="20"/>
          <w:szCs w:val="20"/>
        </w:rPr>
        <w:t xml:space="preserve"> a “balanced” market</w:t>
      </w:r>
      <w:r w:rsidRPr="00722A43">
        <w:rPr>
          <w:rFonts w:ascii="Arial" w:hAnsi="Arial" w:cs="Arial"/>
          <w:sz w:val="20"/>
          <w:szCs w:val="20"/>
        </w:rPr>
        <w:t>. If inventory falls below six months, the market favors sellers, and when inventory exceeds six months, it is a buyer’s market.</w:t>
      </w:r>
      <w:r>
        <w:rPr>
          <w:rFonts w:ascii="Arial" w:hAnsi="Arial" w:cs="Arial"/>
          <w:sz w:val="20"/>
          <w:szCs w:val="20"/>
        </w:rPr>
        <w:t xml:space="preserve"> </w:t>
      </w:r>
      <w:r w:rsidRPr="00722A43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3,</w:t>
      </w:r>
      <w:r w:rsidR="00F51F35">
        <w:rPr>
          <w:rFonts w:ascii="Arial" w:hAnsi="Arial" w:cs="Arial"/>
          <w:sz w:val="20"/>
          <w:szCs w:val="20"/>
        </w:rPr>
        <w:t>159</w:t>
      </w:r>
      <w:r w:rsidRPr="00722A43">
        <w:rPr>
          <w:rFonts w:ascii="Arial" w:hAnsi="Arial" w:cs="Arial"/>
          <w:sz w:val="20"/>
          <w:szCs w:val="20"/>
        </w:rPr>
        <w:t xml:space="preserve"> current listings providing </w:t>
      </w:r>
      <w:r>
        <w:rPr>
          <w:rFonts w:ascii="Arial" w:hAnsi="Arial" w:cs="Arial"/>
          <w:sz w:val="20"/>
          <w:szCs w:val="20"/>
        </w:rPr>
        <w:t>1.</w:t>
      </w:r>
      <w:r w:rsidR="00F51F35">
        <w:rPr>
          <w:rFonts w:ascii="Arial" w:hAnsi="Arial" w:cs="Arial"/>
          <w:sz w:val="20"/>
          <w:szCs w:val="20"/>
        </w:rPr>
        <w:t>9</w:t>
      </w:r>
      <w:r w:rsidRPr="00722A43">
        <w:rPr>
          <w:rFonts w:ascii="Arial" w:hAnsi="Arial" w:cs="Arial"/>
          <w:sz w:val="20"/>
          <w:szCs w:val="20"/>
        </w:rPr>
        <w:t xml:space="preserve"> months of inventory, </w:t>
      </w:r>
      <w:r w:rsidRPr="00722A43">
        <w:rPr>
          <w:rFonts w:ascii="Arial" w:hAnsi="Arial" w:cs="Arial"/>
          <w:b/>
          <w:bCs/>
          <w:sz w:val="20"/>
          <w:szCs w:val="20"/>
        </w:rPr>
        <w:t xml:space="preserve">the market would need an additional </w:t>
      </w:r>
      <w:r w:rsidR="00F51F3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F51F35">
        <w:rPr>
          <w:rFonts w:ascii="Arial" w:hAnsi="Arial" w:cs="Arial"/>
          <w:b/>
          <w:bCs/>
          <w:sz w:val="20"/>
          <w:szCs w:val="20"/>
        </w:rPr>
        <w:t>970</w:t>
      </w:r>
      <w:r w:rsidRPr="00722A43">
        <w:rPr>
          <w:rFonts w:ascii="Arial" w:hAnsi="Arial" w:cs="Arial"/>
          <w:b/>
          <w:bCs/>
          <w:sz w:val="20"/>
          <w:szCs w:val="20"/>
        </w:rPr>
        <w:t xml:space="preserve"> units to push inventory to 6 months</w:t>
      </w:r>
      <w:r w:rsidRPr="00722A43">
        <w:rPr>
          <w:rFonts w:ascii="Arial" w:hAnsi="Arial" w:cs="Arial"/>
          <w:sz w:val="20"/>
          <w:szCs w:val="20"/>
        </w:rPr>
        <w:t xml:space="preserve">. </w:t>
      </w:r>
      <w:r w:rsidR="00DD615F">
        <w:rPr>
          <w:rFonts w:ascii="Arial" w:hAnsi="Arial" w:cs="Arial"/>
          <w:sz w:val="20"/>
          <w:szCs w:val="20"/>
        </w:rPr>
        <w:br w:type="page"/>
      </w:r>
    </w:p>
    <w:p w14:paraId="10A1F6D8" w14:textId="77777777" w:rsidR="00F71BBF" w:rsidRDefault="00F71BBF" w:rsidP="00FA1C63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5F0F09E" w14:textId="77777777" w:rsidR="00BA7AF1" w:rsidRDefault="00BA7AF1" w:rsidP="00FA1C63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75FB17D9" w14:textId="783BA746" w:rsidR="00FD6F12" w:rsidRDefault="000703DA" w:rsidP="00FA1C63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38D2F3A" wp14:editId="54B02DDB">
            <wp:extent cx="5486400" cy="3200400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ABCC9DB2-F818-46DB-B2B6-336FDDC6F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BF3F01" w14:textId="77777777" w:rsidR="00BA7AF1" w:rsidRDefault="00BA7AF1" w:rsidP="00FA1C63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5A6ABFB8" w14:textId="77777777" w:rsidR="00F71BBF" w:rsidRDefault="00F71BBF" w:rsidP="00FA1C63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5F5B5030" w14:textId="0506DB2F" w:rsidR="00DD615F" w:rsidRDefault="009A7A71" w:rsidP="00FA1C63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3135BDC" wp14:editId="6DF33CD8">
            <wp:extent cx="5486400" cy="3200400"/>
            <wp:effectExtent l="0" t="0" r="0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EB56237D-54C0-4849-8C75-6FC35DE051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D615F">
        <w:rPr>
          <w:rFonts w:ascii="Arial" w:hAnsi="Arial" w:cs="Arial"/>
          <w:sz w:val="20"/>
          <w:szCs w:val="20"/>
        </w:rPr>
        <w:br w:type="page"/>
      </w:r>
    </w:p>
    <w:p w14:paraId="3A4395CA" w14:textId="77777777" w:rsidR="00BA7AF1" w:rsidRDefault="00BA7AF1" w:rsidP="00BB4AB9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D56D44E" w14:textId="77777777" w:rsidR="00BA7AF1" w:rsidRDefault="00BA7AF1" w:rsidP="00BB4AB9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419C7934" w14:textId="45232009" w:rsidR="00641D2E" w:rsidRDefault="00465E3E" w:rsidP="00BB4AB9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F90CADD" wp14:editId="5F5EA8D8">
            <wp:extent cx="5486400" cy="3200400"/>
            <wp:effectExtent l="0" t="0" r="0" b="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F2FEF32A-D1AF-4A9C-AAE6-3E388C22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332B79" w14:textId="77777777" w:rsidR="00BA7AF1" w:rsidRDefault="00BA7AF1" w:rsidP="00BB4AB9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520B0E49" w14:textId="77777777" w:rsidR="00641D2E" w:rsidRDefault="00641D2E" w:rsidP="00BB4AB9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372C7E37" w14:textId="4D225BDE" w:rsidR="00543D2E" w:rsidRDefault="00B90761" w:rsidP="00543D2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A2B23AC" wp14:editId="76B638D0">
            <wp:extent cx="5486400" cy="3200400"/>
            <wp:effectExtent l="0" t="0" r="0" b="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E50C3EA1-F4C5-43FC-A29A-CA8C56663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8310626" w14:textId="0B5245EF" w:rsidR="00543D2E" w:rsidRDefault="00543D2E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031AD">
        <w:rPr>
          <w:noProof/>
        </w:rPr>
        <w:lastRenderedPageBreak/>
        <w:drawing>
          <wp:inline distT="0" distB="0" distL="0" distR="0" wp14:anchorId="724BC97C" wp14:editId="3FBE9F0D">
            <wp:extent cx="2743200" cy="2743200"/>
            <wp:effectExtent l="0" t="0" r="0" b="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11EE7EFA-7540-4B45-A912-89FE18DF98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031AD">
        <w:rPr>
          <w:noProof/>
        </w:rPr>
        <w:drawing>
          <wp:inline distT="0" distB="0" distL="0" distR="0" wp14:anchorId="45E6FA35" wp14:editId="405E772C">
            <wp:extent cx="2743200" cy="2743200"/>
            <wp:effectExtent l="0" t="0" r="0" b="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id="{F9FAF6E5-329E-4579-8134-DE5D9C4E78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7869A1" w14:textId="6E5185A3" w:rsidR="005031AD" w:rsidRDefault="005031AD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3E50F20" wp14:editId="5DA8A47C">
            <wp:extent cx="2743200" cy="2743200"/>
            <wp:effectExtent l="0" t="0" r="0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9349E083-AD48-4945-BEFD-86E99F4CA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2B86FB" wp14:editId="77F24BD4">
            <wp:extent cx="2743200" cy="2743200"/>
            <wp:effectExtent l="0" t="0" r="0" b="0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9C4BC502-2604-48B8-8481-0CA4C0451F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ED64A23" w14:textId="33184932" w:rsidR="005031AD" w:rsidRDefault="005031AD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02B2B6B" wp14:editId="58BBBAFE">
            <wp:extent cx="2743200" cy="2743200"/>
            <wp:effectExtent l="0" t="0" r="0" b="0"/>
            <wp:docPr id="29" name="Chart 29">
              <a:extLst xmlns:a="http://schemas.openxmlformats.org/drawingml/2006/main">
                <a:ext uri="{FF2B5EF4-FFF2-40B4-BE49-F238E27FC236}">
                  <a16:creationId xmlns:a16="http://schemas.microsoft.com/office/drawing/2014/main" id="{5D1BD276-8C11-4DF4-A806-007DBB1EEC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BCD91B" w14:textId="77777777" w:rsidR="005031AD" w:rsidRDefault="005031AD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CBBBE5" w14:textId="4880B7AC" w:rsidR="005031AD" w:rsidRDefault="005031AD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9490202" wp14:editId="48A0E027">
            <wp:extent cx="2743200" cy="2743200"/>
            <wp:effectExtent l="0" t="0" r="0" b="0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id="{7DA16D5D-2FCA-42E7-9171-992A4BF763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D24FFA" wp14:editId="3CE903C1">
            <wp:extent cx="2743200" cy="2743200"/>
            <wp:effectExtent l="0" t="0" r="0" b="0"/>
            <wp:docPr id="32" name="Chart 32">
              <a:extLst xmlns:a="http://schemas.openxmlformats.org/drawingml/2006/main">
                <a:ext uri="{FF2B5EF4-FFF2-40B4-BE49-F238E27FC236}">
                  <a16:creationId xmlns:a16="http://schemas.microsoft.com/office/drawing/2014/main" id="{C9580650-2EAD-4A2E-8F96-02AFB5DA09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664C64E" w14:textId="0D132C43" w:rsidR="00FC388C" w:rsidRDefault="005031AD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157486E" wp14:editId="04E4D329">
            <wp:extent cx="27432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79D86F07-B810-4F80-AA06-26EE9BBA0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FC388C">
        <w:rPr>
          <w:noProof/>
        </w:rPr>
        <w:drawing>
          <wp:inline distT="0" distB="0" distL="0" distR="0" wp14:anchorId="3242F98F" wp14:editId="0CEA94BB">
            <wp:extent cx="2743200" cy="2743200"/>
            <wp:effectExtent l="0" t="0" r="0" b="0"/>
            <wp:docPr id="33" name="Chart 33">
              <a:extLst xmlns:a="http://schemas.openxmlformats.org/drawingml/2006/main">
                <a:ext uri="{FF2B5EF4-FFF2-40B4-BE49-F238E27FC236}">
                  <a16:creationId xmlns:a16="http://schemas.microsoft.com/office/drawing/2014/main" id="{1FA73562-D91B-4DA6-BDFF-FFDA74DB01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51CB2A7" w14:textId="7777777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620E9A" w14:textId="3395B399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9BCDE66" wp14:editId="4DACC5D2">
            <wp:extent cx="2760133" cy="2692400"/>
            <wp:effectExtent l="0" t="0" r="2540" b="12700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id="{10A06C7F-B9B9-4C6C-9C91-45F5E31ACF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2DF02A" wp14:editId="15636429">
            <wp:extent cx="2760134" cy="2692400"/>
            <wp:effectExtent l="0" t="0" r="2540" b="12700"/>
            <wp:docPr id="35" name="Chart 35">
              <a:extLst xmlns:a="http://schemas.openxmlformats.org/drawingml/2006/main">
                <a:ext uri="{FF2B5EF4-FFF2-40B4-BE49-F238E27FC236}">
                  <a16:creationId xmlns:a16="http://schemas.microsoft.com/office/drawing/2014/main" id="{F4D232C9-E775-4013-A77A-3AEC6E169C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63FBAC1" w14:textId="1117C356" w:rsidR="005031AD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10637C3" wp14:editId="0695F688">
            <wp:extent cx="2760134" cy="2692400"/>
            <wp:effectExtent l="0" t="0" r="2540" b="12700"/>
            <wp:docPr id="36" name="Chart 36">
              <a:extLst xmlns:a="http://schemas.openxmlformats.org/drawingml/2006/main">
                <a:ext uri="{FF2B5EF4-FFF2-40B4-BE49-F238E27FC236}">
                  <a16:creationId xmlns:a16="http://schemas.microsoft.com/office/drawing/2014/main" id="{0DF0D36D-9803-4525-9337-7DAA1497F8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F65D8" wp14:editId="4992F047">
            <wp:extent cx="2764367" cy="2692400"/>
            <wp:effectExtent l="0" t="0" r="17145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2A78F26-8B22-4DF0-9DB1-2A218EE4A4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3B257B2" w14:textId="5F8294E2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A83F6FF" wp14:editId="73A76C13">
            <wp:extent cx="2760134" cy="2692400"/>
            <wp:effectExtent l="0" t="0" r="2540" b="12700"/>
            <wp:docPr id="37" name="Chart 37">
              <a:extLst xmlns:a="http://schemas.openxmlformats.org/drawingml/2006/main">
                <a:ext uri="{FF2B5EF4-FFF2-40B4-BE49-F238E27FC236}">
                  <a16:creationId xmlns:a16="http://schemas.microsoft.com/office/drawing/2014/main" id="{19D7DC6F-E887-4E9B-BE68-695E70065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F969D83" w14:textId="7777777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802693" w14:textId="57AD6A0C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043C0F4" wp14:editId="224E3486">
            <wp:extent cx="2760133" cy="2692400"/>
            <wp:effectExtent l="0" t="0" r="2540" b="12700"/>
            <wp:docPr id="39" name="Chart 39">
              <a:extLst xmlns:a="http://schemas.openxmlformats.org/drawingml/2006/main">
                <a:ext uri="{FF2B5EF4-FFF2-40B4-BE49-F238E27FC236}">
                  <a16:creationId xmlns:a16="http://schemas.microsoft.com/office/drawing/2014/main" id="{3E0D4232-72CB-4A12-BC28-36BE4D6567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8EBA89" wp14:editId="0196F7F5">
            <wp:extent cx="2760134" cy="2689225"/>
            <wp:effectExtent l="0" t="0" r="2540" b="15875"/>
            <wp:docPr id="40" name="Chart 40">
              <a:extLst xmlns:a="http://schemas.openxmlformats.org/drawingml/2006/main">
                <a:ext uri="{FF2B5EF4-FFF2-40B4-BE49-F238E27FC236}">
                  <a16:creationId xmlns:a16="http://schemas.microsoft.com/office/drawing/2014/main" id="{9C679835-3CC2-4372-BFAD-23A3D0B259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7BE6C78E" w14:textId="32CA23DB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437232D" wp14:editId="224D3590">
            <wp:extent cx="2760133" cy="2689225"/>
            <wp:effectExtent l="0" t="0" r="2540" b="15875"/>
            <wp:docPr id="41" name="Chart 41">
              <a:extLst xmlns:a="http://schemas.openxmlformats.org/drawingml/2006/main">
                <a:ext uri="{FF2B5EF4-FFF2-40B4-BE49-F238E27FC236}">
                  <a16:creationId xmlns:a16="http://schemas.microsoft.com/office/drawing/2014/main" id="{61C15941-37E2-40BA-BD62-69C8D62F0C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535107" wp14:editId="7B5848E4">
            <wp:extent cx="2760134" cy="2689225"/>
            <wp:effectExtent l="0" t="0" r="2540" b="15875"/>
            <wp:docPr id="38" name="Chart 38">
              <a:extLst xmlns:a="http://schemas.openxmlformats.org/drawingml/2006/main">
                <a:ext uri="{FF2B5EF4-FFF2-40B4-BE49-F238E27FC236}">
                  <a16:creationId xmlns:a16="http://schemas.microsoft.com/office/drawing/2014/main" id="{96C48DE2-2485-4691-BF3B-B75232C90A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0E9270C" w14:textId="7777777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399623" w14:textId="0FCE45B4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74AE69" wp14:editId="7E53B99F">
            <wp:extent cx="2760133" cy="2692400"/>
            <wp:effectExtent l="0" t="0" r="2540" b="12700"/>
            <wp:docPr id="42" name="Chart 42">
              <a:extLst xmlns:a="http://schemas.openxmlformats.org/drawingml/2006/main">
                <a:ext uri="{FF2B5EF4-FFF2-40B4-BE49-F238E27FC236}">
                  <a16:creationId xmlns:a16="http://schemas.microsoft.com/office/drawing/2014/main" id="{7EA80E6B-4B09-4E7C-A461-3EEF57B3D3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513E7" wp14:editId="76D96A98">
            <wp:extent cx="2760133" cy="2692400"/>
            <wp:effectExtent l="0" t="0" r="2540" b="12700"/>
            <wp:docPr id="43" name="Chart 43">
              <a:extLst xmlns:a="http://schemas.openxmlformats.org/drawingml/2006/main">
                <a:ext uri="{FF2B5EF4-FFF2-40B4-BE49-F238E27FC236}">
                  <a16:creationId xmlns:a16="http://schemas.microsoft.com/office/drawing/2014/main" id="{96AC2D9C-3A8B-4914-AFB5-C1E5DA5580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462C2D1" w14:textId="7754C641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DDB35CB" wp14:editId="2DAB67DE">
            <wp:extent cx="2760133" cy="2692400"/>
            <wp:effectExtent l="0" t="0" r="2540" b="12700"/>
            <wp:docPr id="44" name="Chart 44">
              <a:extLst xmlns:a="http://schemas.openxmlformats.org/drawingml/2006/main">
                <a:ext uri="{FF2B5EF4-FFF2-40B4-BE49-F238E27FC236}">
                  <a16:creationId xmlns:a16="http://schemas.microsoft.com/office/drawing/2014/main" id="{D556E186-3595-4960-856F-317CD4BE9D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BC6F31" wp14:editId="0F025F7B">
            <wp:extent cx="2764366" cy="2692400"/>
            <wp:effectExtent l="0" t="0" r="17145" b="12700"/>
            <wp:docPr id="45" name="Chart 45">
              <a:extLst xmlns:a="http://schemas.openxmlformats.org/drawingml/2006/main">
                <a:ext uri="{FF2B5EF4-FFF2-40B4-BE49-F238E27FC236}">
                  <a16:creationId xmlns:a16="http://schemas.microsoft.com/office/drawing/2014/main" id="{72EBB85E-4E19-476D-8755-EFB8B445C1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F852765" w14:textId="1933C530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1E33514" wp14:editId="0477F385">
            <wp:extent cx="2760133" cy="2692400"/>
            <wp:effectExtent l="0" t="0" r="2540" b="12700"/>
            <wp:docPr id="46" name="Chart 46">
              <a:extLst xmlns:a="http://schemas.openxmlformats.org/drawingml/2006/main">
                <a:ext uri="{FF2B5EF4-FFF2-40B4-BE49-F238E27FC236}">
                  <a16:creationId xmlns:a16="http://schemas.microsoft.com/office/drawing/2014/main" id="{EA97C5FF-2608-459D-B7F2-8AF927C747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7533E76D" w14:textId="0A46B0D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noProof/>
        </w:rPr>
        <w:lastRenderedPageBreak/>
        <w:drawing>
          <wp:inline distT="0" distB="0" distL="0" distR="0" wp14:anchorId="5D241B4A" wp14:editId="767ED85F">
            <wp:extent cx="2760133" cy="2692400"/>
            <wp:effectExtent l="0" t="0" r="2540" b="12700"/>
            <wp:docPr id="55" name="Chart 55">
              <a:extLst xmlns:a="http://schemas.openxmlformats.org/drawingml/2006/main">
                <a:ext uri="{FF2B5EF4-FFF2-40B4-BE49-F238E27FC236}">
                  <a16:creationId xmlns:a16="http://schemas.microsoft.com/office/drawing/2014/main" id="{D97EB49C-74F2-4487-8CDA-5472ED298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F3A02B" wp14:editId="70548289">
            <wp:extent cx="2760133" cy="2689225"/>
            <wp:effectExtent l="0" t="0" r="2540" b="15875"/>
            <wp:docPr id="56" name="Chart 56">
              <a:extLst xmlns:a="http://schemas.openxmlformats.org/drawingml/2006/main">
                <a:ext uri="{FF2B5EF4-FFF2-40B4-BE49-F238E27FC236}">
                  <a16:creationId xmlns:a16="http://schemas.microsoft.com/office/drawing/2014/main" id="{1ADD81B6-9EA9-4F8F-85B0-E0FC4ABB2E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E6DE695" w14:textId="54FADA15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520B7C7" wp14:editId="033750CC">
            <wp:extent cx="2760134" cy="2689225"/>
            <wp:effectExtent l="0" t="0" r="2540" b="15875"/>
            <wp:docPr id="65" name="Chart 65">
              <a:extLst xmlns:a="http://schemas.openxmlformats.org/drawingml/2006/main">
                <a:ext uri="{FF2B5EF4-FFF2-40B4-BE49-F238E27FC236}">
                  <a16:creationId xmlns:a16="http://schemas.microsoft.com/office/drawing/2014/main" id="{8DD49762-C65F-4B6C-BADA-DF75EB0908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234D31" wp14:editId="71553BA6">
            <wp:extent cx="2760133" cy="2689225"/>
            <wp:effectExtent l="0" t="0" r="2540" b="1587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18680959-D9B2-40C9-AE42-164F7D399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059F34EC" w14:textId="7777777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94A34C" w14:textId="368D3763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8A6076B" wp14:editId="247778CD">
            <wp:extent cx="2760133" cy="2692400"/>
            <wp:effectExtent l="0" t="0" r="2540" b="12700"/>
            <wp:docPr id="76" name="Chart 76">
              <a:extLst xmlns:a="http://schemas.openxmlformats.org/drawingml/2006/main">
                <a:ext uri="{FF2B5EF4-FFF2-40B4-BE49-F238E27FC236}">
                  <a16:creationId xmlns:a16="http://schemas.microsoft.com/office/drawing/2014/main" id="{0FC858D5-E3D1-4733-AC83-140B232076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21DA7" wp14:editId="4D184697">
            <wp:extent cx="2760133" cy="2692400"/>
            <wp:effectExtent l="0" t="0" r="2540" b="12700"/>
            <wp:docPr id="77" name="Chart 77">
              <a:extLst xmlns:a="http://schemas.openxmlformats.org/drawingml/2006/main">
                <a:ext uri="{FF2B5EF4-FFF2-40B4-BE49-F238E27FC236}">
                  <a16:creationId xmlns:a16="http://schemas.microsoft.com/office/drawing/2014/main" id="{3E5B7BC6-B5AD-4128-A172-ED52BD466D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0043E438" w14:textId="6292B00C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758EE2A" wp14:editId="69B59CE5">
            <wp:extent cx="2760133" cy="2692400"/>
            <wp:effectExtent l="0" t="0" r="2540" b="12700"/>
            <wp:docPr id="78" name="Chart 78">
              <a:extLst xmlns:a="http://schemas.openxmlformats.org/drawingml/2006/main">
                <a:ext uri="{FF2B5EF4-FFF2-40B4-BE49-F238E27FC236}">
                  <a16:creationId xmlns:a16="http://schemas.microsoft.com/office/drawing/2014/main" id="{9A5C05D0-FF14-4ABE-A14E-B6FE9688C4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0DCA6" wp14:editId="742DB5E0">
            <wp:extent cx="2764366" cy="2692400"/>
            <wp:effectExtent l="0" t="0" r="17145" b="12700"/>
            <wp:docPr id="79" name="Chart 79">
              <a:extLst xmlns:a="http://schemas.openxmlformats.org/drawingml/2006/main">
                <a:ext uri="{FF2B5EF4-FFF2-40B4-BE49-F238E27FC236}">
                  <a16:creationId xmlns:a16="http://schemas.microsoft.com/office/drawing/2014/main" id="{ED8C4207-7633-4BA7-9F86-7D63673F92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38AA3ACF" w14:textId="3078A975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87CE19F" wp14:editId="39E84583">
            <wp:extent cx="2760133" cy="2692400"/>
            <wp:effectExtent l="0" t="0" r="2540" b="12700"/>
            <wp:docPr id="80" name="Chart 80">
              <a:extLst xmlns:a="http://schemas.openxmlformats.org/drawingml/2006/main">
                <a:ext uri="{FF2B5EF4-FFF2-40B4-BE49-F238E27FC236}">
                  <a16:creationId xmlns:a16="http://schemas.microsoft.com/office/drawing/2014/main" id="{09C3A880-3052-4016-8755-3780B18516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180EB99F" w14:textId="7777777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4C741D" w14:textId="2009B2F7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0D832DD" wp14:editId="51241576">
            <wp:extent cx="2760133" cy="2689225"/>
            <wp:effectExtent l="0" t="0" r="2540" b="15875"/>
            <wp:docPr id="81" name="Chart 81">
              <a:extLst xmlns:a="http://schemas.openxmlformats.org/drawingml/2006/main">
                <a:ext uri="{FF2B5EF4-FFF2-40B4-BE49-F238E27FC236}">
                  <a16:creationId xmlns:a16="http://schemas.microsoft.com/office/drawing/2014/main" id="{AEAEC397-37E6-4921-BCD1-70EC5CE5DC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582D26" wp14:editId="01C9107B">
            <wp:extent cx="2760133" cy="2692400"/>
            <wp:effectExtent l="0" t="0" r="2540" b="12700"/>
            <wp:docPr id="82" name="Chart 82">
              <a:extLst xmlns:a="http://schemas.openxmlformats.org/drawingml/2006/main">
                <a:ext uri="{FF2B5EF4-FFF2-40B4-BE49-F238E27FC236}">
                  <a16:creationId xmlns:a16="http://schemas.microsoft.com/office/drawing/2014/main" id="{1C53AB85-D6A3-4B26-B0F0-799CB81311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54DE0AD2" w14:textId="2F236FD2" w:rsidR="00FC388C" w:rsidRDefault="00FC388C" w:rsidP="00634BCB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989F3F6" wp14:editId="5C60DD77">
            <wp:extent cx="2760133" cy="2689225"/>
            <wp:effectExtent l="0" t="0" r="2540" b="15875"/>
            <wp:docPr id="83" name="Chart 83">
              <a:extLst xmlns:a="http://schemas.openxmlformats.org/drawingml/2006/main">
                <a:ext uri="{FF2B5EF4-FFF2-40B4-BE49-F238E27FC236}">
                  <a16:creationId xmlns:a16="http://schemas.microsoft.com/office/drawing/2014/main" id="{04B4EC44-9710-4A90-B41C-50CBAF1B1A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1CF873" wp14:editId="7173FB90">
            <wp:extent cx="2760134" cy="2689225"/>
            <wp:effectExtent l="0" t="0" r="2540" b="15875"/>
            <wp:docPr id="84" name="Chart 84">
              <a:extLst xmlns:a="http://schemas.openxmlformats.org/drawingml/2006/main">
                <a:ext uri="{FF2B5EF4-FFF2-40B4-BE49-F238E27FC236}">
                  <a16:creationId xmlns:a16="http://schemas.microsoft.com/office/drawing/2014/main" id="{83342A32-2184-4767-82A0-38F42683E4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sectPr w:rsidR="00FC388C" w:rsidSect="003B327A">
      <w:footerReference w:type="default" r:id="rId54"/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34B1" w14:textId="77777777" w:rsidR="003A3F49" w:rsidRDefault="003A3F49" w:rsidP="003B327A">
      <w:r>
        <w:separator/>
      </w:r>
    </w:p>
  </w:endnote>
  <w:endnote w:type="continuationSeparator" w:id="0">
    <w:p w14:paraId="592A5F0F" w14:textId="77777777" w:rsidR="003A3F49" w:rsidRDefault="003A3F4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91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44136" w14:textId="7CC7BE66" w:rsidR="00086B75" w:rsidRDefault="00086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9DD8E" w14:textId="77777777" w:rsidR="00086B75" w:rsidRDefault="0008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A7D4" w14:textId="77777777" w:rsidR="003A3F49" w:rsidRDefault="003A3F49" w:rsidP="003B327A">
      <w:r>
        <w:separator/>
      </w:r>
    </w:p>
  </w:footnote>
  <w:footnote w:type="continuationSeparator" w:id="0">
    <w:p w14:paraId="76810702" w14:textId="77777777" w:rsidR="003A3F49" w:rsidRDefault="003A3F49" w:rsidP="003B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9541853">
    <w:abstractNumId w:val="0"/>
  </w:num>
  <w:num w:numId="2" w16cid:durableId="1276670306">
    <w:abstractNumId w:val="0"/>
  </w:num>
  <w:num w:numId="3" w16cid:durableId="178534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40B0"/>
    <w:rsid w:val="0000535B"/>
    <w:rsid w:val="00010A1A"/>
    <w:rsid w:val="000231FD"/>
    <w:rsid w:val="00027002"/>
    <w:rsid w:val="00027936"/>
    <w:rsid w:val="000418A7"/>
    <w:rsid w:val="00050D8C"/>
    <w:rsid w:val="00050EC7"/>
    <w:rsid w:val="00054A35"/>
    <w:rsid w:val="00057F91"/>
    <w:rsid w:val="000643AB"/>
    <w:rsid w:val="000703DA"/>
    <w:rsid w:val="00075CB8"/>
    <w:rsid w:val="00080DB8"/>
    <w:rsid w:val="00080E07"/>
    <w:rsid w:val="00080EBB"/>
    <w:rsid w:val="0008180B"/>
    <w:rsid w:val="00081B02"/>
    <w:rsid w:val="000834B8"/>
    <w:rsid w:val="00083B67"/>
    <w:rsid w:val="00085C75"/>
    <w:rsid w:val="00086B75"/>
    <w:rsid w:val="000871EE"/>
    <w:rsid w:val="00087232"/>
    <w:rsid w:val="000927A7"/>
    <w:rsid w:val="000A1E2F"/>
    <w:rsid w:val="000A2CE6"/>
    <w:rsid w:val="000A3217"/>
    <w:rsid w:val="000A7A27"/>
    <w:rsid w:val="000B2C07"/>
    <w:rsid w:val="000B67F7"/>
    <w:rsid w:val="000C1709"/>
    <w:rsid w:val="000C5D86"/>
    <w:rsid w:val="000F0146"/>
    <w:rsid w:val="000F21F9"/>
    <w:rsid w:val="000F623E"/>
    <w:rsid w:val="00103E62"/>
    <w:rsid w:val="001111CB"/>
    <w:rsid w:val="00120199"/>
    <w:rsid w:val="00124A77"/>
    <w:rsid w:val="00127EF0"/>
    <w:rsid w:val="001312C0"/>
    <w:rsid w:val="00153E0D"/>
    <w:rsid w:val="00156337"/>
    <w:rsid w:val="00157115"/>
    <w:rsid w:val="00160EED"/>
    <w:rsid w:val="00162A57"/>
    <w:rsid w:val="00167120"/>
    <w:rsid w:val="00167F70"/>
    <w:rsid w:val="001710C0"/>
    <w:rsid w:val="00172794"/>
    <w:rsid w:val="00172E7E"/>
    <w:rsid w:val="00176044"/>
    <w:rsid w:val="001813B3"/>
    <w:rsid w:val="00183378"/>
    <w:rsid w:val="001865ED"/>
    <w:rsid w:val="001874CC"/>
    <w:rsid w:val="001924E5"/>
    <w:rsid w:val="00192A0B"/>
    <w:rsid w:val="001A060A"/>
    <w:rsid w:val="001A5F8A"/>
    <w:rsid w:val="001A6012"/>
    <w:rsid w:val="001B4CFE"/>
    <w:rsid w:val="001B610A"/>
    <w:rsid w:val="001C2406"/>
    <w:rsid w:val="001C2B1D"/>
    <w:rsid w:val="001C62A3"/>
    <w:rsid w:val="001D27D9"/>
    <w:rsid w:val="001D331B"/>
    <w:rsid w:val="001D7B23"/>
    <w:rsid w:val="001F0911"/>
    <w:rsid w:val="001F245E"/>
    <w:rsid w:val="001F5CBD"/>
    <w:rsid w:val="00200D3B"/>
    <w:rsid w:val="00205183"/>
    <w:rsid w:val="00211BC4"/>
    <w:rsid w:val="00214A45"/>
    <w:rsid w:val="002156E5"/>
    <w:rsid w:val="002228CD"/>
    <w:rsid w:val="0023346D"/>
    <w:rsid w:val="002369FD"/>
    <w:rsid w:val="00241968"/>
    <w:rsid w:val="002425C6"/>
    <w:rsid w:val="00256F5E"/>
    <w:rsid w:val="0025772F"/>
    <w:rsid w:val="00261855"/>
    <w:rsid w:val="00270176"/>
    <w:rsid w:val="00270753"/>
    <w:rsid w:val="0027717E"/>
    <w:rsid w:val="00284DBA"/>
    <w:rsid w:val="002972C9"/>
    <w:rsid w:val="002A78ED"/>
    <w:rsid w:val="002B5840"/>
    <w:rsid w:val="002C12CA"/>
    <w:rsid w:val="002C639C"/>
    <w:rsid w:val="002E391A"/>
    <w:rsid w:val="002F413C"/>
    <w:rsid w:val="002F59D0"/>
    <w:rsid w:val="003014F6"/>
    <w:rsid w:val="003079C4"/>
    <w:rsid w:val="003105DB"/>
    <w:rsid w:val="00314345"/>
    <w:rsid w:val="0031482E"/>
    <w:rsid w:val="0031621B"/>
    <w:rsid w:val="003176C9"/>
    <w:rsid w:val="00323325"/>
    <w:rsid w:val="00326B56"/>
    <w:rsid w:val="00327373"/>
    <w:rsid w:val="0033059A"/>
    <w:rsid w:val="0033168B"/>
    <w:rsid w:val="00352251"/>
    <w:rsid w:val="00354473"/>
    <w:rsid w:val="003639E9"/>
    <w:rsid w:val="003724B8"/>
    <w:rsid w:val="00376618"/>
    <w:rsid w:val="00377E8C"/>
    <w:rsid w:val="00377E9E"/>
    <w:rsid w:val="00390C48"/>
    <w:rsid w:val="003A3F49"/>
    <w:rsid w:val="003A5A38"/>
    <w:rsid w:val="003B1886"/>
    <w:rsid w:val="003B327A"/>
    <w:rsid w:val="003C5FD7"/>
    <w:rsid w:val="003D41B2"/>
    <w:rsid w:val="003F1A08"/>
    <w:rsid w:val="003F321A"/>
    <w:rsid w:val="003F403D"/>
    <w:rsid w:val="0040188A"/>
    <w:rsid w:val="00406BF6"/>
    <w:rsid w:val="00407D21"/>
    <w:rsid w:val="00412F73"/>
    <w:rsid w:val="00413F4A"/>
    <w:rsid w:val="00416329"/>
    <w:rsid w:val="00417FDA"/>
    <w:rsid w:val="004217B7"/>
    <w:rsid w:val="0043444E"/>
    <w:rsid w:val="00435320"/>
    <w:rsid w:val="00437958"/>
    <w:rsid w:val="00437E34"/>
    <w:rsid w:val="0044014E"/>
    <w:rsid w:val="004433DB"/>
    <w:rsid w:val="00450916"/>
    <w:rsid w:val="00460083"/>
    <w:rsid w:val="004616F1"/>
    <w:rsid w:val="00465E3E"/>
    <w:rsid w:val="00470AB1"/>
    <w:rsid w:val="0047433E"/>
    <w:rsid w:val="00476AA0"/>
    <w:rsid w:val="0048406D"/>
    <w:rsid w:val="0049421B"/>
    <w:rsid w:val="004A0A6D"/>
    <w:rsid w:val="004A1A6C"/>
    <w:rsid w:val="004A5A2A"/>
    <w:rsid w:val="004A5FC1"/>
    <w:rsid w:val="004B1439"/>
    <w:rsid w:val="004C7E31"/>
    <w:rsid w:val="004E6E55"/>
    <w:rsid w:val="004F022E"/>
    <w:rsid w:val="004F08C0"/>
    <w:rsid w:val="004F440A"/>
    <w:rsid w:val="005031AD"/>
    <w:rsid w:val="00503E46"/>
    <w:rsid w:val="00510938"/>
    <w:rsid w:val="005160A6"/>
    <w:rsid w:val="005170D2"/>
    <w:rsid w:val="005201F4"/>
    <w:rsid w:val="0052049F"/>
    <w:rsid w:val="00526C79"/>
    <w:rsid w:val="005335BE"/>
    <w:rsid w:val="00534DD3"/>
    <w:rsid w:val="0054105F"/>
    <w:rsid w:val="00543D2E"/>
    <w:rsid w:val="005460CE"/>
    <w:rsid w:val="005478AC"/>
    <w:rsid w:val="0055147B"/>
    <w:rsid w:val="0055148B"/>
    <w:rsid w:val="005552A3"/>
    <w:rsid w:val="00555A05"/>
    <w:rsid w:val="0055631D"/>
    <w:rsid w:val="00556E33"/>
    <w:rsid w:val="005640BF"/>
    <w:rsid w:val="005650BC"/>
    <w:rsid w:val="0057459F"/>
    <w:rsid w:val="00577F84"/>
    <w:rsid w:val="00580AAD"/>
    <w:rsid w:val="00585519"/>
    <w:rsid w:val="0059459C"/>
    <w:rsid w:val="0059620F"/>
    <w:rsid w:val="005C2B87"/>
    <w:rsid w:val="005C2D08"/>
    <w:rsid w:val="005C4AF7"/>
    <w:rsid w:val="005D3CB3"/>
    <w:rsid w:val="005E0A00"/>
    <w:rsid w:val="005E4C81"/>
    <w:rsid w:val="00602021"/>
    <w:rsid w:val="0060287B"/>
    <w:rsid w:val="00603A94"/>
    <w:rsid w:val="00612A8B"/>
    <w:rsid w:val="006213F9"/>
    <w:rsid w:val="00623E52"/>
    <w:rsid w:val="00627F72"/>
    <w:rsid w:val="00634BCB"/>
    <w:rsid w:val="00636212"/>
    <w:rsid w:val="006416AF"/>
    <w:rsid w:val="00641D2E"/>
    <w:rsid w:val="00645AD0"/>
    <w:rsid w:val="00654B2A"/>
    <w:rsid w:val="00654C36"/>
    <w:rsid w:val="00656C73"/>
    <w:rsid w:val="00657358"/>
    <w:rsid w:val="00657D2E"/>
    <w:rsid w:val="00667F9C"/>
    <w:rsid w:val="0067111B"/>
    <w:rsid w:val="00681DC8"/>
    <w:rsid w:val="00690597"/>
    <w:rsid w:val="00690E70"/>
    <w:rsid w:val="00697985"/>
    <w:rsid w:val="006A0D96"/>
    <w:rsid w:val="006A29CF"/>
    <w:rsid w:val="006C03DB"/>
    <w:rsid w:val="006C0A4A"/>
    <w:rsid w:val="006D13A0"/>
    <w:rsid w:val="006D176A"/>
    <w:rsid w:val="006D195E"/>
    <w:rsid w:val="006D22A4"/>
    <w:rsid w:val="006D4C10"/>
    <w:rsid w:val="006D6799"/>
    <w:rsid w:val="006E0511"/>
    <w:rsid w:val="006E30CF"/>
    <w:rsid w:val="006E60DF"/>
    <w:rsid w:val="006F027C"/>
    <w:rsid w:val="0070562B"/>
    <w:rsid w:val="00714E08"/>
    <w:rsid w:val="00721F71"/>
    <w:rsid w:val="00727298"/>
    <w:rsid w:val="0073360C"/>
    <w:rsid w:val="00736B38"/>
    <w:rsid w:val="0074260B"/>
    <w:rsid w:val="00742C85"/>
    <w:rsid w:val="00752249"/>
    <w:rsid w:val="00754539"/>
    <w:rsid w:val="00754FD0"/>
    <w:rsid w:val="00757A0D"/>
    <w:rsid w:val="0077361B"/>
    <w:rsid w:val="0078467D"/>
    <w:rsid w:val="007848D3"/>
    <w:rsid w:val="0079199D"/>
    <w:rsid w:val="0079281B"/>
    <w:rsid w:val="0079305F"/>
    <w:rsid w:val="007B6D3B"/>
    <w:rsid w:val="007C3602"/>
    <w:rsid w:val="007C3727"/>
    <w:rsid w:val="007C40CE"/>
    <w:rsid w:val="007E0B53"/>
    <w:rsid w:val="007E12FC"/>
    <w:rsid w:val="007F1107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31E2B"/>
    <w:rsid w:val="00832D28"/>
    <w:rsid w:val="00853C6E"/>
    <w:rsid w:val="00857CA5"/>
    <w:rsid w:val="00882E28"/>
    <w:rsid w:val="00886BD5"/>
    <w:rsid w:val="008922D3"/>
    <w:rsid w:val="00892539"/>
    <w:rsid w:val="0089320B"/>
    <w:rsid w:val="00896C6F"/>
    <w:rsid w:val="008A6E66"/>
    <w:rsid w:val="008B059D"/>
    <w:rsid w:val="008B5754"/>
    <w:rsid w:val="008B71BB"/>
    <w:rsid w:val="008C1EA3"/>
    <w:rsid w:val="008C2899"/>
    <w:rsid w:val="008C6F6A"/>
    <w:rsid w:val="008D51A0"/>
    <w:rsid w:val="008E494E"/>
    <w:rsid w:val="008F15EA"/>
    <w:rsid w:val="00912FB8"/>
    <w:rsid w:val="00913F14"/>
    <w:rsid w:val="0091767C"/>
    <w:rsid w:val="00917850"/>
    <w:rsid w:val="0092306F"/>
    <w:rsid w:val="009407A1"/>
    <w:rsid w:val="00940821"/>
    <w:rsid w:val="00945145"/>
    <w:rsid w:val="00945C7F"/>
    <w:rsid w:val="00946D4A"/>
    <w:rsid w:val="00947544"/>
    <w:rsid w:val="00950D76"/>
    <w:rsid w:val="00956B75"/>
    <w:rsid w:val="00957AA6"/>
    <w:rsid w:val="00960659"/>
    <w:rsid w:val="00963F94"/>
    <w:rsid w:val="00965378"/>
    <w:rsid w:val="00966533"/>
    <w:rsid w:val="00973EEB"/>
    <w:rsid w:val="00977AE7"/>
    <w:rsid w:val="00986E1D"/>
    <w:rsid w:val="00992EDE"/>
    <w:rsid w:val="009977F2"/>
    <w:rsid w:val="009A03F9"/>
    <w:rsid w:val="009A3885"/>
    <w:rsid w:val="009A6291"/>
    <w:rsid w:val="009A6579"/>
    <w:rsid w:val="009A7A71"/>
    <w:rsid w:val="009B5407"/>
    <w:rsid w:val="009B6FCA"/>
    <w:rsid w:val="009B7675"/>
    <w:rsid w:val="009C003E"/>
    <w:rsid w:val="009C29B1"/>
    <w:rsid w:val="009C6EA8"/>
    <w:rsid w:val="009D2241"/>
    <w:rsid w:val="009D4F89"/>
    <w:rsid w:val="009E2EEB"/>
    <w:rsid w:val="009E4BB1"/>
    <w:rsid w:val="009E62B4"/>
    <w:rsid w:val="009F07DA"/>
    <w:rsid w:val="009F21C4"/>
    <w:rsid w:val="00A017CA"/>
    <w:rsid w:val="00A07F36"/>
    <w:rsid w:val="00A139C9"/>
    <w:rsid w:val="00A211BB"/>
    <w:rsid w:val="00A2539A"/>
    <w:rsid w:val="00A25A48"/>
    <w:rsid w:val="00A30F7F"/>
    <w:rsid w:val="00A35390"/>
    <w:rsid w:val="00A37F31"/>
    <w:rsid w:val="00A42571"/>
    <w:rsid w:val="00A60995"/>
    <w:rsid w:val="00A648D1"/>
    <w:rsid w:val="00A66383"/>
    <w:rsid w:val="00A66F2A"/>
    <w:rsid w:val="00A73F2D"/>
    <w:rsid w:val="00A761D3"/>
    <w:rsid w:val="00A82582"/>
    <w:rsid w:val="00A92D0C"/>
    <w:rsid w:val="00A96CA0"/>
    <w:rsid w:val="00AA16AC"/>
    <w:rsid w:val="00AB0545"/>
    <w:rsid w:val="00AB1D2A"/>
    <w:rsid w:val="00AB30DB"/>
    <w:rsid w:val="00AB3A0C"/>
    <w:rsid w:val="00AC3065"/>
    <w:rsid w:val="00AD1D58"/>
    <w:rsid w:val="00AD642D"/>
    <w:rsid w:val="00AE1A13"/>
    <w:rsid w:val="00AE3BB8"/>
    <w:rsid w:val="00AE3EB4"/>
    <w:rsid w:val="00AE6343"/>
    <w:rsid w:val="00AF6456"/>
    <w:rsid w:val="00B01F83"/>
    <w:rsid w:val="00B062F3"/>
    <w:rsid w:val="00B10BC3"/>
    <w:rsid w:val="00B170CC"/>
    <w:rsid w:val="00B31A16"/>
    <w:rsid w:val="00B330BD"/>
    <w:rsid w:val="00B40DFC"/>
    <w:rsid w:val="00B704CC"/>
    <w:rsid w:val="00B90761"/>
    <w:rsid w:val="00B92635"/>
    <w:rsid w:val="00BA6A26"/>
    <w:rsid w:val="00BA70FF"/>
    <w:rsid w:val="00BA71CB"/>
    <w:rsid w:val="00BA7AF1"/>
    <w:rsid w:val="00BB352F"/>
    <w:rsid w:val="00BB4423"/>
    <w:rsid w:val="00BB46BC"/>
    <w:rsid w:val="00BB4AB9"/>
    <w:rsid w:val="00BB55D6"/>
    <w:rsid w:val="00BC1205"/>
    <w:rsid w:val="00BC22D6"/>
    <w:rsid w:val="00BD363D"/>
    <w:rsid w:val="00BD6EF6"/>
    <w:rsid w:val="00BE0E5A"/>
    <w:rsid w:val="00BF05EC"/>
    <w:rsid w:val="00BF0B94"/>
    <w:rsid w:val="00BF155E"/>
    <w:rsid w:val="00BF7895"/>
    <w:rsid w:val="00C0002D"/>
    <w:rsid w:val="00C01D83"/>
    <w:rsid w:val="00C066D8"/>
    <w:rsid w:val="00C075BE"/>
    <w:rsid w:val="00C10261"/>
    <w:rsid w:val="00C10518"/>
    <w:rsid w:val="00C105B5"/>
    <w:rsid w:val="00C10C2A"/>
    <w:rsid w:val="00C10CD6"/>
    <w:rsid w:val="00C1360F"/>
    <w:rsid w:val="00C14C58"/>
    <w:rsid w:val="00C16329"/>
    <w:rsid w:val="00C20959"/>
    <w:rsid w:val="00C22763"/>
    <w:rsid w:val="00C3154E"/>
    <w:rsid w:val="00C334B0"/>
    <w:rsid w:val="00C34FFF"/>
    <w:rsid w:val="00C41C9C"/>
    <w:rsid w:val="00C42A34"/>
    <w:rsid w:val="00C5567F"/>
    <w:rsid w:val="00C60C7C"/>
    <w:rsid w:val="00C63707"/>
    <w:rsid w:val="00C63D82"/>
    <w:rsid w:val="00C718CC"/>
    <w:rsid w:val="00C73AAD"/>
    <w:rsid w:val="00C746BD"/>
    <w:rsid w:val="00C76AED"/>
    <w:rsid w:val="00C919A0"/>
    <w:rsid w:val="00CB0548"/>
    <w:rsid w:val="00CB5E83"/>
    <w:rsid w:val="00CC1EAA"/>
    <w:rsid w:val="00CC316C"/>
    <w:rsid w:val="00CD08DE"/>
    <w:rsid w:val="00CD19F7"/>
    <w:rsid w:val="00CD4658"/>
    <w:rsid w:val="00CF3506"/>
    <w:rsid w:val="00CF40BD"/>
    <w:rsid w:val="00CF712E"/>
    <w:rsid w:val="00D0513E"/>
    <w:rsid w:val="00D061C3"/>
    <w:rsid w:val="00D126F1"/>
    <w:rsid w:val="00D128E8"/>
    <w:rsid w:val="00D15637"/>
    <w:rsid w:val="00D1723D"/>
    <w:rsid w:val="00D27B49"/>
    <w:rsid w:val="00D31E52"/>
    <w:rsid w:val="00D34058"/>
    <w:rsid w:val="00D432FD"/>
    <w:rsid w:val="00D56385"/>
    <w:rsid w:val="00D65070"/>
    <w:rsid w:val="00D71B10"/>
    <w:rsid w:val="00D729BF"/>
    <w:rsid w:val="00D7710D"/>
    <w:rsid w:val="00D83A25"/>
    <w:rsid w:val="00D8709F"/>
    <w:rsid w:val="00D900A8"/>
    <w:rsid w:val="00D917E3"/>
    <w:rsid w:val="00D9455C"/>
    <w:rsid w:val="00DA2234"/>
    <w:rsid w:val="00DA2DEC"/>
    <w:rsid w:val="00DA4294"/>
    <w:rsid w:val="00DA482F"/>
    <w:rsid w:val="00DA4DBE"/>
    <w:rsid w:val="00DB7C1E"/>
    <w:rsid w:val="00DC55EC"/>
    <w:rsid w:val="00DC6504"/>
    <w:rsid w:val="00DC6F85"/>
    <w:rsid w:val="00DD184E"/>
    <w:rsid w:val="00DD2BDC"/>
    <w:rsid w:val="00DD615F"/>
    <w:rsid w:val="00DE4001"/>
    <w:rsid w:val="00DE4409"/>
    <w:rsid w:val="00DE478C"/>
    <w:rsid w:val="00DE613A"/>
    <w:rsid w:val="00DF411E"/>
    <w:rsid w:val="00E02A9E"/>
    <w:rsid w:val="00E132E6"/>
    <w:rsid w:val="00E226C8"/>
    <w:rsid w:val="00E22DD1"/>
    <w:rsid w:val="00E302C4"/>
    <w:rsid w:val="00E3381F"/>
    <w:rsid w:val="00E35D19"/>
    <w:rsid w:val="00E37C15"/>
    <w:rsid w:val="00E4060D"/>
    <w:rsid w:val="00E4062C"/>
    <w:rsid w:val="00E40C3D"/>
    <w:rsid w:val="00E44884"/>
    <w:rsid w:val="00E456F1"/>
    <w:rsid w:val="00E46188"/>
    <w:rsid w:val="00E54BEE"/>
    <w:rsid w:val="00E559AE"/>
    <w:rsid w:val="00E5715D"/>
    <w:rsid w:val="00E64AEC"/>
    <w:rsid w:val="00E72019"/>
    <w:rsid w:val="00E816E0"/>
    <w:rsid w:val="00E8432A"/>
    <w:rsid w:val="00E901FE"/>
    <w:rsid w:val="00E913B2"/>
    <w:rsid w:val="00E93491"/>
    <w:rsid w:val="00EA2981"/>
    <w:rsid w:val="00EB2CA3"/>
    <w:rsid w:val="00EB310F"/>
    <w:rsid w:val="00EB334C"/>
    <w:rsid w:val="00EB405F"/>
    <w:rsid w:val="00EB49AC"/>
    <w:rsid w:val="00EB5F66"/>
    <w:rsid w:val="00EC22D0"/>
    <w:rsid w:val="00EC23F2"/>
    <w:rsid w:val="00EC6180"/>
    <w:rsid w:val="00EC789A"/>
    <w:rsid w:val="00ED27FC"/>
    <w:rsid w:val="00EE433A"/>
    <w:rsid w:val="00F03600"/>
    <w:rsid w:val="00F05845"/>
    <w:rsid w:val="00F0620C"/>
    <w:rsid w:val="00F07937"/>
    <w:rsid w:val="00F105E6"/>
    <w:rsid w:val="00F27208"/>
    <w:rsid w:val="00F31ECC"/>
    <w:rsid w:val="00F34596"/>
    <w:rsid w:val="00F35608"/>
    <w:rsid w:val="00F35E94"/>
    <w:rsid w:val="00F40BDC"/>
    <w:rsid w:val="00F4138C"/>
    <w:rsid w:val="00F41BD7"/>
    <w:rsid w:val="00F43485"/>
    <w:rsid w:val="00F4702E"/>
    <w:rsid w:val="00F47C51"/>
    <w:rsid w:val="00F51F35"/>
    <w:rsid w:val="00F537E4"/>
    <w:rsid w:val="00F56E8C"/>
    <w:rsid w:val="00F677F0"/>
    <w:rsid w:val="00F67F9D"/>
    <w:rsid w:val="00F71BBF"/>
    <w:rsid w:val="00F73353"/>
    <w:rsid w:val="00F80C68"/>
    <w:rsid w:val="00F852D3"/>
    <w:rsid w:val="00F90B4C"/>
    <w:rsid w:val="00F93942"/>
    <w:rsid w:val="00F95110"/>
    <w:rsid w:val="00FA099D"/>
    <w:rsid w:val="00FA1C63"/>
    <w:rsid w:val="00FB5F93"/>
    <w:rsid w:val="00FC30D6"/>
    <w:rsid w:val="00FC388C"/>
    <w:rsid w:val="00FC47BB"/>
    <w:rsid w:val="00FC7E7D"/>
    <w:rsid w:val="00FD5A6A"/>
    <w:rsid w:val="00FD6F12"/>
    <w:rsid w:val="00FE3DE4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7C55"/>
  <w15:chartTrackingRefBased/>
  <w15:docId w15:val="{802843E4-AE45-49BC-A261-033C861B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83"/>
    <w:pPr>
      <w:spacing w:after="0" w:line="240" w:lineRule="auto"/>
    </w:p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F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9" Type="http://schemas.openxmlformats.org/officeDocument/2006/relationships/chart" Target="charts/chart28.xml"/><Relationship Id="rId21" Type="http://schemas.openxmlformats.org/officeDocument/2006/relationships/chart" Target="charts/chart10.xml"/><Relationship Id="rId34" Type="http://schemas.openxmlformats.org/officeDocument/2006/relationships/chart" Target="charts/chart23.xml"/><Relationship Id="rId42" Type="http://schemas.openxmlformats.org/officeDocument/2006/relationships/chart" Target="charts/chart31.xml"/><Relationship Id="rId47" Type="http://schemas.openxmlformats.org/officeDocument/2006/relationships/chart" Target="charts/chart36.xml"/><Relationship Id="rId50" Type="http://schemas.openxmlformats.org/officeDocument/2006/relationships/chart" Target="charts/chart39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9" Type="http://schemas.openxmlformats.org/officeDocument/2006/relationships/chart" Target="charts/chart18.xml"/><Relationship Id="rId11" Type="http://schemas.openxmlformats.org/officeDocument/2006/relationships/hyperlink" Target="https://www.freddiemac.com/pmms" TargetMode="External"/><Relationship Id="rId24" Type="http://schemas.openxmlformats.org/officeDocument/2006/relationships/chart" Target="charts/chart13.xml"/><Relationship Id="rId32" Type="http://schemas.openxmlformats.org/officeDocument/2006/relationships/chart" Target="charts/chart21.xml"/><Relationship Id="rId37" Type="http://schemas.openxmlformats.org/officeDocument/2006/relationships/chart" Target="charts/chart26.xml"/><Relationship Id="rId40" Type="http://schemas.openxmlformats.org/officeDocument/2006/relationships/chart" Target="charts/chart29.xml"/><Relationship Id="rId45" Type="http://schemas.openxmlformats.org/officeDocument/2006/relationships/chart" Target="charts/chart34.xml"/><Relationship Id="rId53" Type="http://schemas.openxmlformats.org/officeDocument/2006/relationships/chart" Target="charts/chart42.xml"/><Relationship Id="rId5" Type="http://schemas.openxmlformats.org/officeDocument/2006/relationships/webSettings" Target="webSettings.xml"/><Relationship Id="rId10" Type="http://schemas.openxmlformats.org/officeDocument/2006/relationships/hyperlink" Target="mailto:mike@gmar." TargetMode="Externa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4" Type="http://schemas.openxmlformats.org/officeDocument/2006/relationships/chart" Target="charts/chart33.xml"/><Relationship Id="rId52" Type="http://schemas.openxmlformats.org/officeDocument/2006/relationships/chart" Target="charts/chart41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chart" Target="charts/chart24.xml"/><Relationship Id="rId43" Type="http://schemas.openxmlformats.org/officeDocument/2006/relationships/chart" Target="charts/chart32.xml"/><Relationship Id="rId48" Type="http://schemas.openxmlformats.org/officeDocument/2006/relationships/chart" Target="charts/chart37.xml"/><Relationship Id="rId56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chart" Target="charts/chart40.xml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chart" Target="charts/chart22.xml"/><Relationship Id="rId38" Type="http://schemas.openxmlformats.org/officeDocument/2006/relationships/chart" Target="charts/chart27.xml"/><Relationship Id="rId46" Type="http://schemas.openxmlformats.org/officeDocument/2006/relationships/chart" Target="charts/chart35.xml"/><Relationship Id="rId20" Type="http://schemas.openxmlformats.org/officeDocument/2006/relationships/chart" Target="charts/chart9.xml"/><Relationship Id="rId41" Type="http://schemas.openxmlformats.org/officeDocument/2006/relationships/chart" Target="charts/chart30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36" Type="http://schemas.openxmlformats.org/officeDocument/2006/relationships/chart" Target="charts/chart25.xml"/><Relationship Id="rId49" Type="http://schemas.openxmlformats.org/officeDocument/2006/relationships/chart" Target="charts/chart3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chartUserShapes" Target="../drawings/drawing2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chartUserShapes" Target="../drawings/drawing3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5.xml"/><Relationship Id="rId1" Type="http://schemas.microsoft.com/office/2011/relationships/chartStyle" Target="style35.xml"/><Relationship Id="rId4" Type="http://schemas.openxmlformats.org/officeDocument/2006/relationships/chartUserShapes" Target="../drawings/drawing4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1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n-US" sz="900">
                <a:solidFill>
                  <a:sysClr val="windowText" lastClr="000000"/>
                </a:solidFill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</a:rPr>
              <a:t> side, months right side)</a:t>
            </a:r>
            <a:endParaRPr lang="en-US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0328667249927088"/>
          <c:y val="2.80282152230971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1547</c:v>
                </c:pt>
                <c:pt idx="1">
                  <c:v>1762</c:v>
                </c:pt>
                <c:pt idx="2">
                  <c:v>2057</c:v>
                </c:pt>
                <c:pt idx="3">
                  <c:v>2750</c:v>
                </c:pt>
                <c:pt idx="4">
                  <c:v>3179</c:v>
                </c:pt>
                <c:pt idx="5">
                  <c:v>3458</c:v>
                </c:pt>
                <c:pt idx="6">
                  <c:v>3265</c:v>
                </c:pt>
                <c:pt idx="7">
                  <c:v>3137</c:v>
                </c:pt>
                <c:pt idx="8">
                  <c:v>2700</c:v>
                </c:pt>
                <c:pt idx="9">
                  <c:v>2334</c:v>
                </c:pt>
                <c:pt idx="10">
                  <c:v>1851</c:v>
                </c:pt>
                <c:pt idx="11">
                  <c:v>1692</c:v>
                </c:pt>
                <c:pt idx="12">
                  <c:v>1805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5-4A80-90D1-06175A32863F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2387</c:v>
                </c:pt>
                <c:pt idx="1">
                  <c:v>2676</c:v>
                </c:pt>
                <c:pt idx="2">
                  <c:v>2791</c:v>
                </c:pt>
                <c:pt idx="3">
                  <c:v>2960</c:v>
                </c:pt>
                <c:pt idx="4">
                  <c:v>2849</c:v>
                </c:pt>
                <c:pt idx="5">
                  <c:v>2624</c:v>
                </c:pt>
                <c:pt idx="6">
                  <c:v>2638</c:v>
                </c:pt>
                <c:pt idx="7">
                  <c:v>2467</c:v>
                </c:pt>
                <c:pt idx="8">
                  <c:v>2029</c:v>
                </c:pt>
                <c:pt idx="9">
                  <c:v>1263</c:v>
                </c:pt>
                <c:pt idx="10">
                  <c:v>1514</c:v>
                </c:pt>
                <c:pt idx="11">
                  <c:v>1699</c:v>
                </c:pt>
                <c:pt idx="12">
                  <c:v>1893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5-4A80-90D1-06175A328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2.1</c:v>
                </c:pt>
                <c:pt idx="1">
                  <c:v>2.4</c:v>
                </c:pt>
                <c:pt idx="2">
                  <c:v>2.6</c:v>
                </c:pt>
                <c:pt idx="3">
                  <c:v>3</c:v>
                </c:pt>
                <c:pt idx="4">
                  <c:v>3.1</c:v>
                </c:pt>
                <c:pt idx="5">
                  <c:v>3.1</c:v>
                </c:pt>
                <c:pt idx="6">
                  <c:v>3</c:v>
                </c:pt>
                <c:pt idx="7">
                  <c:v>2.9</c:v>
                </c:pt>
                <c:pt idx="8">
                  <c:v>2.5</c:v>
                </c:pt>
                <c:pt idx="9">
                  <c:v>1.9</c:v>
                </c:pt>
                <c:pt idx="10">
                  <c:v>1.7</c:v>
                </c:pt>
                <c:pt idx="11">
                  <c:v>1.7</c:v>
                </c:pt>
                <c:pt idx="1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B45-4A80-90D1-06175A32863F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</c:strRef>
          </c:cat>
          <c:val>
            <c:numRef>
              <c:f>'Monthly Stats Data'!$B$122:$N$122</c:f>
              <c:numCache>
                <c:formatCode>0.0</c:formatCode>
                <c:ptCount val="13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 formatCode="_(* #,##0.0_);_(* \(#,##0.0\);_(* &quot;-&quot;??_);_(@_)">
                  <c:v>1.3</c:v>
                </c:pt>
                <c:pt idx="5">
                  <c:v>1.4</c:v>
                </c:pt>
                <c:pt idx="6" formatCode="_(* #,##0.0_);_(* \(#,##0.0\);_(* &quot;-&quot;??_);_(@_)">
                  <c:v>1.3</c:v>
                </c:pt>
                <c:pt idx="7" formatCode="_(* #,##0.0_);_(* \(#,##0.0\);_(* &quot;-&quot;??_);_(@_)">
                  <c:v>1.1000000000000001</c:v>
                </c:pt>
                <c:pt idx="8" formatCode="_(* #,##0.0_);_(* \(#,##0.0\);_(* &quot;-&quot;??_);_(@_)">
                  <c:v>1</c:v>
                </c:pt>
                <c:pt idx="9" formatCode="_(* #,##0.0_);_(* \(#,##0.0\);_(* &quot;-&quot;??_);_(@_)">
                  <c:v>0.7</c:v>
                </c:pt>
                <c:pt idx="10" formatCode="_(* #,##0.0_);_(* \(#,##0.0\);_(* &quot;-&quot;??_);_(@_)">
                  <c:v>0.6</c:v>
                </c:pt>
                <c:pt idx="11">
                  <c:v>0.6</c:v>
                </c:pt>
                <c:pt idx="12" formatCode="_(* #,##0_);_(* \(#,##0\);_(* &quot;-&quot;??_);_(@_)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B45-4A80-90D1-06175A328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22824074074074074"/>
          <c:y val="0.8407113954505685"/>
          <c:w val="0.57361111111111107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- 8.6%</a:t>
            </a:r>
          </a:p>
        </c:rich>
      </c:tx>
      <c:layout>
        <c:manualLayout>
          <c:xMode val="edge"/>
          <c:yMode val="edge"/>
          <c:x val="0.2774766695829687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1421296296296297"/>
          <c:w val="0.816994750656168"/>
          <c:h val="0.600976961213181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Charts'!$B$7</c:f>
              <c:numCache>
                <c:formatCode>General</c:formatCode>
                <c:ptCount val="1"/>
                <c:pt idx="0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AC-4AFA-8062-C4779FC46696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AC-4AFA-8062-C4779FC466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Charts'!$C$7</c:f>
              <c:numCache>
                <c:formatCode>General</c:formatCode>
                <c:ptCount val="1"/>
                <c:pt idx="0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AC-4AFA-8062-C4779FC46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AAC-4AFA-8062-C4779FC46696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3.4%</a:t>
            </a:r>
          </a:p>
        </c:rich>
      </c:tx>
      <c:layout>
        <c:manualLayout>
          <c:xMode val="edge"/>
          <c:yMode val="edge"/>
          <c:x val="0.22989369249907229"/>
          <c:y val="7.3056824104123619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Charts'!$A$8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Charts'!$B$8</c:f>
              <c:numCache>
                <c:formatCode>#,##0</c:formatCode>
                <c:ptCount val="1"/>
                <c:pt idx="0">
                  <c:v>1593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5F-4025-AF7D-998761B78529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5F-4025-AF7D-998761B785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Charts'!$A$8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Charts'!$C$8</c:f>
              <c:numCache>
                <c:formatCode>#,##0</c:formatCode>
                <c:ptCount val="1"/>
                <c:pt idx="0">
                  <c:v>1647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5F-4025-AF7D-998761B78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Charts'!$A$8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65F-4025-AF7D-998761B78529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- 9.8%</a:t>
            </a:r>
          </a:p>
        </c:rich>
      </c:tx>
      <c:layout>
        <c:manualLayout>
          <c:xMode val="edge"/>
          <c:yMode val="edge"/>
          <c:x val="0.3056711140274132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Charts'!$A$10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Charts'!$B$10</c:f>
              <c:numCache>
                <c:formatCode>General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33-4A2A-911E-11F049816431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33-4A2A-911E-11F0498164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Charts'!$A$10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Charts'!$C$10</c:f>
              <c:numCache>
                <c:formatCode>General</c:formatCode>
                <c:ptCount val="1"/>
                <c:pt idx="0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33-4A2A-911E-11F049816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Charts'!$A$10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A33-4A2A-911E-11F04981643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</a:t>
            </a:r>
            <a:r>
              <a:rPr lang="en-US" b="1" baseline="0">
                <a:solidFill>
                  <a:sysClr val="windowText" lastClr="000000"/>
                </a:solidFill>
              </a:rPr>
              <a:t> 3.0</a:t>
            </a:r>
            <a:r>
              <a:rPr lang="en-US" b="1">
                <a:solidFill>
                  <a:sysClr val="windowText" lastClr="000000"/>
                </a:solidFill>
              </a:rPr>
              <a:t>%</a:t>
            </a:r>
          </a:p>
        </c:rich>
      </c:tx>
      <c:layout>
        <c:manualLayout>
          <c:xMode val="edge"/>
          <c:yMode val="edge"/>
          <c:x val="0.31030074365704285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273148148148143"/>
          <c:w val="0.78548993875765527"/>
          <c:h val="0.58245844269466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Charts'!$A$11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Charts'!$B$11</c:f>
              <c:numCache>
                <c:formatCode>General</c:formatCode>
                <c:ptCount val="1"/>
                <c:pt idx="0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0A-4E04-996F-AA86FA9F1891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0A-4E04-996F-AA86FA9F18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Charts'!$A$11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Charts'!$C$11</c:f>
              <c:numCache>
                <c:formatCode>General</c:formatCode>
                <c:ptCount val="1"/>
                <c:pt idx="0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0A-4E04-996F-AA86FA9F1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Charts'!$A$11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90A-4E04-996F-AA86FA9F189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- 0.8%</a:t>
            </a:r>
          </a:p>
        </c:rich>
      </c:tx>
      <c:layout>
        <c:manualLayout>
          <c:xMode val="edge"/>
          <c:yMode val="edge"/>
          <c:x val="0.28252296587926506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1884259259259256"/>
          <c:w val="0.78548993875765527"/>
          <c:h val="0.596347331583552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Charts'!$A$12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Charts'!$B$12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4D-4B06-AC37-9F8D685D5D53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4D-4B06-AC37-9F8D685D5D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Charts'!$A$12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Charts'!$C$12</c:f>
              <c:numCache>
                <c:formatCode>General</c:formatCode>
                <c:ptCount val="1"/>
                <c:pt idx="0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4D-4B06-AC37-9F8D685D5D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Charts'!$A$12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B4D-4B06-AC37-9F8D685D5D53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1.1%</a:t>
            </a:r>
          </a:p>
        </c:rich>
      </c:tx>
      <c:layout>
        <c:manualLayout>
          <c:xMode val="edge"/>
          <c:yMode val="edge"/>
          <c:x val="0.32213881483729995"/>
          <c:y val="4.62959615837867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Charts'!$A$13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Charts'!$B$13</c:f>
              <c:numCache>
                <c:formatCode>#,##0</c:formatCode>
                <c:ptCount val="1"/>
                <c:pt idx="0">
                  <c:v>2139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91-412C-8E4B-C076E0F81D91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91-412C-8E4B-C076E0F81D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Charts'!$A$13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Charts'!$C$13</c:f>
              <c:numCache>
                <c:formatCode>#,##0</c:formatCode>
                <c:ptCount val="1"/>
                <c:pt idx="0">
                  <c:v>2163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91-412C-8E4B-C076E0F81D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Charts'!$A$13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C91-412C-8E4B-C076E0F81D9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Mar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- 11.6%</a:t>
            </a:r>
          </a:p>
        </c:rich>
      </c:tx>
      <c:layout>
        <c:manualLayout>
          <c:xMode val="edge"/>
          <c:yMode val="edge"/>
          <c:x val="0.24087245191911982"/>
          <c:y val="2.645598354259771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Charts'!$B$63</c:f>
              <c:numCache>
                <c:formatCode>_(* #,##0_);_(* \(#,##0\);_(* "-"??_);_(@_)</c:formatCode>
                <c:ptCount val="1"/>
                <c:pt idx="0">
                  <c:v>1307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4-4B26-9A45-95E7A5829434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04-4B26-9A45-95E7A58294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Charts'!$C$63</c:f>
              <c:numCache>
                <c:formatCode>_(* #,##0_);_(* \(#,##0\);_(* "-"??_);_(@_)</c:formatCode>
                <c:ptCount val="1"/>
                <c:pt idx="0">
                  <c:v>1155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04-4B26-9A45-95E7A5829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Charts'!$A$63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304-4B26-9A45-95E7A5829434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- 12.5%</a:t>
            </a:r>
          </a:p>
        </c:rich>
      </c:tx>
      <c:layout>
        <c:manualLayout>
          <c:xMode val="edge"/>
          <c:yMode val="edge"/>
          <c:x val="0.27201370662000585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Charts'!$B$64</c:f>
              <c:numCache>
                <c:formatCode>_(* #,##0_);_(* \(#,##0\);_(* "-"??_);_(@_)</c:formatCode>
                <c:ptCount val="1"/>
                <c:pt idx="0">
                  <c:v>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4-441B-B563-C9570ABE0C12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4-441B-B563-C9570ABE0C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Charts'!$C$64</c:f>
              <c:numCache>
                <c:formatCode>_(* #,##0_);_(* \(#,##0\);_(* "-"??_);_(@_)</c:formatCode>
                <c:ptCount val="1"/>
                <c:pt idx="0">
                  <c:v>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14-441B-B563-C9570ABE0C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Charts'!$A$64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414-441B-B563-C9570ABE0C12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- 9.0%</a:t>
            </a:r>
          </a:p>
        </c:rich>
      </c:tx>
      <c:layout>
        <c:manualLayout>
          <c:xMode val="edge"/>
          <c:yMode val="edge"/>
          <c:x val="0.246492782152230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Charts'!$A$66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Charts'!$B$66</c:f>
              <c:numCache>
                <c:formatCode>_(* #,##0_);_(* \(#,##0\);_(* "-"??_);_(@_)</c:formatCode>
                <c:ptCount val="1"/>
                <c:pt idx="0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CE-4407-ACC0-BE6640098F2F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CE-4407-ACC0-BE6640098F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Charts'!$A$66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Charts'!$C$66</c:f>
              <c:numCache>
                <c:formatCode>_(* #,##0_);_(* \(#,##0\);_(* "-"??_);_(@_)</c:formatCode>
                <c:ptCount val="1"/>
                <c:pt idx="0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CE-4407-ACC0-BE6640098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Charts'!$A$66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5CE-4407-ACC0-BE6640098F2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- 20.0%</a:t>
            </a:r>
          </a:p>
        </c:rich>
      </c:tx>
      <c:layout>
        <c:manualLayout>
          <c:xMode val="edge"/>
          <c:yMode val="edge"/>
          <c:x val="0.27768828213219132"/>
          <c:y val="4.70239843296785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6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Charts'!$A$65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Charts'!$B$65</c:f>
              <c:numCache>
                <c:formatCode>_(* #,##0_);_(* \(#,##0\);_(* "-"??_);_(@_)</c:formatCode>
                <c:ptCount val="1"/>
                <c:pt idx="0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B1-4197-BE64-F1F8C8919A35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B1-4197-BE64-F1F8C8919A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Charts'!$A$65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Charts'!$C$65</c:f>
              <c:numCache>
                <c:formatCode>_(* #,##0_);_(* \(#,##0\);_(* "-"??_);_(@_)</c:formatCode>
                <c:ptCount val="1"/>
                <c:pt idx="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B1-4197-BE64-F1F8C8919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Charts'!$A$65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CB1-4197-BE64-F1F8C8919A35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Current Listings</c:v>
          </c:tx>
          <c:spPr>
            <a:solidFill>
              <a:srgbClr val="3358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Data'!$P$129:$P$141</c:f>
              <c:strCache>
                <c:ptCount val="1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  <c:extLst/>
            </c:strRef>
          </c:cat>
          <c:val>
            <c:numRef>
              <c:f>'Monthly Stats Data'!$Q$129:$Q$141</c:f>
              <c:numCache>
                <c:formatCode>_(* #,##0_);_(* \(#,##0\);_(* "-"??_);_(@_)</c:formatCode>
                <c:ptCount val="13"/>
                <c:pt idx="0">
                  <c:v>3934</c:v>
                </c:pt>
                <c:pt idx="1">
                  <c:v>4438</c:v>
                </c:pt>
                <c:pt idx="2">
                  <c:v>4848</c:v>
                </c:pt>
                <c:pt idx="3">
                  <c:v>5710</c:v>
                </c:pt>
                <c:pt idx="4">
                  <c:v>6028</c:v>
                </c:pt>
                <c:pt idx="5">
                  <c:v>6082</c:v>
                </c:pt>
                <c:pt idx="6">
                  <c:v>5903</c:v>
                </c:pt>
                <c:pt idx="7">
                  <c:v>5604</c:v>
                </c:pt>
                <c:pt idx="8">
                  <c:v>4729</c:v>
                </c:pt>
                <c:pt idx="9">
                  <c:v>3597</c:v>
                </c:pt>
                <c:pt idx="10">
                  <c:v>3365</c:v>
                </c:pt>
                <c:pt idx="11">
                  <c:v>3391</c:v>
                </c:pt>
                <c:pt idx="12">
                  <c:v>3698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CAC-43D9-91E1-1AB30D258A5F}"/>
            </c:ext>
          </c:extLst>
        </c:ser>
        <c:ser>
          <c:idx val="3"/>
          <c:order val="1"/>
          <c:tx>
            <c:v>New Units Needed</c:v>
          </c:tx>
          <c:spPr>
            <a:solidFill>
              <a:srgbClr val="B3BED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Data'!$P$129:$P$141</c:f>
              <c:strCache>
                <c:ptCount val="1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  <c:extLst/>
            </c:strRef>
          </c:cat>
          <c:val>
            <c:numRef>
              <c:f>'Monthly Stats Data'!$T$129:$T$141</c:f>
              <c:numCache>
                <c:formatCode>_(* #,##0_);_(* \(#,##0\);_(* "-"??_);_(@_)</c:formatCode>
                <c:ptCount val="13"/>
                <c:pt idx="0">
                  <c:v>7080</c:v>
                </c:pt>
                <c:pt idx="1">
                  <c:v>6575</c:v>
                </c:pt>
                <c:pt idx="2">
                  <c:v>6300</c:v>
                </c:pt>
                <c:pt idx="3">
                  <c:v>5650</c:v>
                </c:pt>
                <c:pt idx="4">
                  <c:v>5620</c:v>
                </c:pt>
                <c:pt idx="5">
                  <c:v>5625</c:v>
                </c:pt>
                <c:pt idx="6">
                  <c:v>5825</c:v>
                </c:pt>
                <c:pt idx="7">
                  <c:v>6075</c:v>
                </c:pt>
                <c:pt idx="8">
                  <c:v>6850</c:v>
                </c:pt>
                <c:pt idx="9">
                  <c:v>7983</c:v>
                </c:pt>
                <c:pt idx="10">
                  <c:v>8275</c:v>
                </c:pt>
                <c:pt idx="11">
                  <c:v>8250</c:v>
                </c:pt>
                <c:pt idx="12">
                  <c:v>7970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CAC-43D9-91E1-1AB30D258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- 12.1%</a:t>
            </a:r>
          </a:p>
        </c:rich>
      </c:tx>
      <c:layout>
        <c:manualLayout>
          <c:xMode val="edge"/>
          <c:yMode val="edge"/>
          <c:x val="0.22993036528271085"/>
          <c:y val="1.092235292075299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Charts'!$B$67</c:f>
              <c:numCache>
                <c:formatCode>_(* #,##0_);_(* \(#,##0\);_(* "-"??_);_(@_)</c:formatCode>
                <c:ptCount val="1"/>
                <c:pt idx="0">
                  <c:v>2210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13-4EAE-917F-2273AD4BA085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13-4EAE-917F-2273AD4BA0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Charts'!$C$67</c:f>
              <c:numCache>
                <c:formatCode>_(* #,##0_);_(* \(#,##0\);_(* "-"??_);_(@_)</c:formatCode>
                <c:ptCount val="1"/>
                <c:pt idx="0">
                  <c:v>1942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13-4EAE-917F-2273AD4BA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Charts'!$A$67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513-4EAE-917F-2273AD4BA085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 baseline="0">
                <a:solidFill>
                  <a:sysClr val="windowText" lastClr="000000"/>
                </a:solidFill>
              </a:rPr>
              <a:t>10.0</a:t>
            </a:r>
            <a:r>
              <a:rPr lang="en-US" b="1">
                <a:solidFill>
                  <a:sysClr val="windowText" lastClr="000000"/>
                </a:solidFill>
              </a:rPr>
              <a:t>%</a:t>
            </a:r>
          </a:p>
        </c:rich>
      </c:tx>
      <c:layout>
        <c:manualLayout>
          <c:xMode val="edge"/>
          <c:yMode val="edge"/>
          <c:x val="0.25931978885190948"/>
          <c:y val="7.27494067749715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Charts'!$B$69</c:f>
              <c:numCache>
                <c:formatCode>General</c:formatCode>
                <c:ptCount val="1"/>
                <c:pt idx="0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4-4DD5-B55E-6EF0E470EA17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F4-4DD5-B55E-6EF0E470E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Charts'!$C$69</c:f>
              <c:numCache>
                <c:formatCode>General</c:formatCode>
                <c:ptCount val="1"/>
                <c:pt idx="0">
                  <c:v>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F4-4DD5-B55E-6EF0E470E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Charts'!$A$69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6F4-4DD5-B55E-6EF0E470EA17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3.1%</a:t>
            </a:r>
          </a:p>
        </c:rich>
      </c:tx>
      <c:layout>
        <c:manualLayout>
          <c:xMode val="edge"/>
          <c:yMode val="edge"/>
          <c:x val="0.26863407699037622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Charts'!$B$70</c:f>
              <c:numCache>
                <c:formatCode>General</c:formatCode>
                <c:ptCount val="1"/>
                <c:pt idx="0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AE-4F7D-B7B0-6F496D2993AB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AE-4F7D-B7B0-6F496D2993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Charts'!$C$70</c:f>
              <c:numCache>
                <c:formatCode>General</c:formatCode>
                <c:ptCount val="1"/>
                <c:pt idx="0">
                  <c:v>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AE-4F7D-B7B0-6F496D2993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Charts'!$A$70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1AE-4F7D-B7B0-6F496D2993AB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3.0%</a:t>
            </a:r>
          </a:p>
        </c:rich>
      </c:tx>
      <c:layout>
        <c:manualLayout>
          <c:xMode val="edge"/>
          <c:yMode val="edge"/>
          <c:x val="0.27783855618109099"/>
          <c:y val="2.684059613958122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Charts'!$B$71</c:f>
              <c:numCache>
                <c:formatCode>General</c:formatCode>
                <c:ptCount val="1"/>
                <c:pt idx="0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9E-4535-8DF9-1BB0F05B09EA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9E-4535-8DF9-1BB0F05B09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Charts'!$C$71</c:f>
              <c:numCache>
                <c:formatCode>General</c:formatCode>
                <c:ptCount val="1"/>
                <c:pt idx="0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9E-4535-8DF9-1BB0F05B0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Charts'!$A$71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69E-4535-8DF9-1BB0F05B09EA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 Area 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Mar 2022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- 8.0%</a:t>
            </a:r>
          </a:p>
        </c:rich>
      </c:tx>
      <c:layout>
        <c:manualLayout>
          <c:xMode val="edge"/>
          <c:yMode val="edge"/>
          <c:x val="0.23767340598659592"/>
          <c:y val="7.73587552036412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Charts'!$B$72</c:f>
              <c:numCache>
                <c:formatCode>#,##0</c:formatCode>
                <c:ptCount val="1"/>
                <c:pt idx="0">
                  <c:v>2861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9-4140-860E-4F9C84C8783E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29-4140-860E-4F9C84C8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Charts'!$C$72</c:f>
              <c:numCache>
                <c:formatCode>#,##0</c:formatCode>
                <c:ptCount val="1"/>
                <c:pt idx="0">
                  <c:v>2631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29-4140-860E-4F9C84C87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Charts'!$A$72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929-4140-860E-4F9C84C8783E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 algn="ctr">
              <a:defRPr/>
            </a:pPr>
            <a:r>
              <a:rPr lang="en-US" b="1">
                <a:solidFill>
                  <a:sysClr val="windowText" lastClr="000000"/>
                </a:solidFill>
              </a:rPr>
              <a:t>1st Qtr Sales </a:t>
            </a:r>
          </a:p>
          <a:p>
            <a:pPr algn="ctr">
              <a:defRPr/>
            </a:pPr>
            <a:r>
              <a:rPr lang="en-US" b="1">
                <a:solidFill>
                  <a:sysClr val="windowText" lastClr="000000"/>
                </a:solidFill>
              </a:rPr>
              <a:t>5.9%</a:t>
            </a:r>
          </a:p>
        </c:rich>
      </c:tx>
      <c:layout>
        <c:manualLayout>
          <c:xMode val="edge"/>
          <c:yMode val="edge"/>
          <c:x val="0.25011555847185768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Charts'!$A$4</c:f>
              <c:strCache>
                <c:ptCount val="1"/>
                <c:pt idx="0">
                  <c:v> Milwaukee </c:v>
                </c:pt>
              </c:strCache>
            </c:strRef>
          </c:cat>
          <c:val>
            <c:numRef>
              <c:f>'Qtr Charts'!$B$4</c:f>
              <c:numCache>
                <c:formatCode>_(* #,##0_);_(* \(#,##0\);_(* "-"??_);_(@_)</c:formatCode>
                <c:ptCount val="1"/>
                <c:pt idx="0">
                  <c:v>2402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8-460A-A369-F982C30DC007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78-460A-A369-F982C30DC0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Charts'!$A$4</c:f>
              <c:strCache>
                <c:ptCount val="1"/>
                <c:pt idx="0">
                  <c:v> Milwaukee </c:v>
                </c:pt>
              </c:strCache>
            </c:strRef>
          </c:cat>
          <c:val>
            <c:numRef>
              <c:f>'Qtr Charts'!$C$4</c:f>
              <c:numCache>
                <c:formatCode>_(* #,##0_);_(* \(#,##0\);_(* "-"??_);_(@_)</c:formatCode>
                <c:ptCount val="1"/>
                <c:pt idx="0">
                  <c:v>2543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78-460A-A369-F982C30DC0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Charts'!$A$4</c15:sqref>
                        </c15:formulaRef>
                      </c:ext>
                    </c:extLst>
                    <c:strCache>
                      <c:ptCount val="1"/>
                      <c:pt idx="0">
                        <c:v> Milwaukee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F78-460A-A369-F982C30DC007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- 7.6%</a:t>
            </a:r>
          </a:p>
        </c:rich>
      </c:tx>
      <c:layout>
        <c:manualLayout>
          <c:xMode val="edge"/>
          <c:yMode val="edge"/>
          <c:x val="0.2534951881014873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Charts'!$A$5</c:f>
              <c:strCache>
                <c:ptCount val="1"/>
                <c:pt idx="0">
                  <c:v> Waukesha </c:v>
                </c:pt>
              </c:strCache>
            </c:strRef>
          </c:cat>
          <c:val>
            <c:numRef>
              <c:f>'Qtr Charts'!$B$5</c:f>
              <c:numCache>
                <c:formatCode>_(* #,##0_);_(* \(#,##0\);_(* "-"??_);_(@_)</c:formatCode>
                <c:ptCount val="1"/>
                <c:pt idx="0">
                  <c:v>940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D-4F4D-BA20-FFAC472E772A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4D-4F4D-BA20-FFAC472E77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Charts'!$A$5</c:f>
              <c:strCache>
                <c:ptCount val="1"/>
                <c:pt idx="0">
                  <c:v> Waukesha </c:v>
                </c:pt>
              </c:strCache>
            </c:strRef>
          </c:cat>
          <c:val>
            <c:numRef>
              <c:f>'Qtr Charts'!$C$5</c:f>
              <c:numCache>
                <c:formatCode>_(* #,##0_);_(* \(#,##0\);_(* "-"??_);_(@_)</c:formatCode>
                <c:ptCount val="1"/>
                <c:pt idx="0">
                  <c:v>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4D-4F4D-BA20-FFAC472E7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Charts'!$A$5</c15:sqref>
                        </c15:formulaRef>
                      </c:ext>
                    </c:extLst>
                    <c:strCache>
                      <c:ptCount val="1"/>
                      <c:pt idx="0">
                        <c:v> Waukesha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A4D-4F4D-BA20-FFAC472E772A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7.8%</a:t>
            </a:r>
          </a:p>
        </c:rich>
      </c:tx>
      <c:layout>
        <c:manualLayout>
          <c:xMode val="edge"/>
          <c:yMode val="edge"/>
          <c:x val="0.2774766695829687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1421296296296297"/>
          <c:w val="0.816994750656168"/>
          <c:h val="0.600976961213181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</c:f>
              <c:strCache>
                <c:ptCount val="1"/>
                <c:pt idx="0">
                  <c:v> Ozaukee </c:v>
                </c:pt>
              </c:strCache>
            </c:strRef>
          </c:cat>
          <c:val>
            <c:numRef>
              <c:f>'Qtr Charts'!$B$7</c:f>
              <c:numCache>
                <c:formatCode>_(* #,##0_);_(* \(#,##0\);_(* "-"??_);_(@_)</c:formatCode>
                <c:ptCount val="1"/>
                <c:pt idx="0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F2-465E-A685-09F4A8861385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F2-465E-A685-09F4A88613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</c:f>
              <c:strCache>
                <c:ptCount val="1"/>
                <c:pt idx="0">
                  <c:v> Ozaukee </c:v>
                </c:pt>
              </c:strCache>
            </c:strRef>
          </c:cat>
          <c:val>
            <c:numRef>
              <c:f>'Qtr Charts'!$C$7</c:f>
              <c:numCache>
                <c:formatCode>_(* #,##0_);_(* \(#,##0\);_(* "-"??_);_(@_)</c:formatCode>
                <c:ptCount val="1"/>
                <c:pt idx="0">
                  <c:v>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F2-465E-A685-09F4A8861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Charts'!$A$7</c15:sqref>
                        </c15:formulaRef>
                      </c:ext>
                    </c:extLst>
                    <c:strCache>
                      <c:ptCount val="1"/>
                      <c:pt idx="0">
                        <c:v> Ozaukee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AF2-465E-A685-09F4A8861385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- 2.6%</a:t>
            </a:r>
          </a:p>
        </c:rich>
      </c:tx>
      <c:layout>
        <c:manualLayout>
          <c:xMode val="edge"/>
          <c:yMode val="edge"/>
          <c:x val="0.250161854768154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</c:f>
              <c:strCache>
                <c:ptCount val="1"/>
                <c:pt idx="0">
                  <c:v> Washington </c:v>
                </c:pt>
              </c:strCache>
            </c:strRef>
          </c:cat>
          <c:val>
            <c:numRef>
              <c:f>'Qtr Charts'!$B$6</c:f>
              <c:numCache>
                <c:formatCode>_(* #,##0_);_(* \(#,##0\);_(* "-"??_);_(@_)</c:formatCode>
                <c:ptCount val="1"/>
                <c:pt idx="0">
                  <c:v>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85-466C-A34E-B5B976F784C6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85-466C-A34E-B5B976F784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</c:f>
              <c:strCache>
                <c:ptCount val="1"/>
                <c:pt idx="0">
                  <c:v> Washington </c:v>
                </c:pt>
              </c:strCache>
            </c:strRef>
          </c:cat>
          <c:val>
            <c:numRef>
              <c:f>'Qtr Charts'!$C$6</c:f>
              <c:numCache>
                <c:formatCode>_(* #,##0_);_(* \(#,##0\);_(* "-"??_);_(@_)</c:formatCode>
                <c:ptCount val="1"/>
                <c:pt idx="0">
                  <c:v>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85-466C-A34E-B5B976F784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</c15:sqref>
                        </c15:formulaRef>
                      </c:ext>
                    </c:extLst>
                    <c:strCache>
                      <c:ptCount val="1"/>
                      <c:pt idx="0">
                        <c:v> Washington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985-466C-A34E-B5B976F784C6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2.0%</a:t>
            </a:r>
          </a:p>
        </c:rich>
      </c:tx>
      <c:layout>
        <c:manualLayout>
          <c:xMode val="edge"/>
          <c:yMode val="edge"/>
          <c:x val="0.22067111402741324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Charts'!$A$8</c:f>
              <c:strCache>
                <c:ptCount val="1"/>
                <c:pt idx="0">
                  <c:v> Metro Area </c:v>
                </c:pt>
              </c:strCache>
            </c:strRef>
          </c:cat>
          <c:val>
            <c:numRef>
              <c:f>'Qtr Charts'!$B$8</c:f>
              <c:numCache>
                <c:formatCode>_(* #,##0_);_(* \(#,##0\);_(* "-"??_);_(@_)</c:formatCode>
                <c:ptCount val="1"/>
                <c:pt idx="0">
                  <c:v>3933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61-4996-A33D-80FBA3C084EA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61-4996-A33D-80FBA3C084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Charts'!$A$8</c:f>
              <c:strCache>
                <c:ptCount val="1"/>
                <c:pt idx="0">
                  <c:v> Metro Area </c:v>
                </c:pt>
              </c:strCache>
            </c:strRef>
          </c:cat>
          <c:val>
            <c:numRef>
              <c:f>'Qtr Charts'!$C$8</c:f>
              <c:numCache>
                <c:formatCode>_(* #,##0_);_(* \(#,##0\);_(* "-"??_);_(@_)</c:formatCode>
                <c:ptCount val="1"/>
                <c:pt idx="0">
                  <c:v>4013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61-4996-A33D-80FBA3C084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Charts'!$A$8</c15:sqref>
                        </c15:formulaRef>
                      </c:ext>
                    </c:extLst>
                    <c:strCache>
                      <c:ptCount val="1"/>
                      <c:pt idx="0">
                        <c:v> Metro Area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761-4996-A33D-80FBA3C084EA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4 Cty Avg Sale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Data'!$B$167:$B$189</c:f>
              <c:numCache>
                <c:formatCode>General</c:formatCod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numCache>
            </c:numRef>
          </c:cat>
          <c:val>
            <c:numRef>
              <c:f>'1st Qtr County Data'!$D$167:$D$189</c:f>
              <c:numCache>
                <c:formatCode>_("$"* #,##0_);_("$"* \(#,##0\);_("$"* "-"??_);_(@_)</c:formatCode>
                <c:ptCount val="23"/>
                <c:pt idx="0">
                  <c:v>169447.75</c:v>
                </c:pt>
                <c:pt idx="1">
                  <c:v>179108</c:v>
                </c:pt>
                <c:pt idx="2">
                  <c:v>192758.25</c:v>
                </c:pt>
                <c:pt idx="3">
                  <c:v>208126.75</c:v>
                </c:pt>
                <c:pt idx="4">
                  <c:v>221490.25</c:v>
                </c:pt>
                <c:pt idx="5">
                  <c:v>233178.25</c:v>
                </c:pt>
                <c:pt idx="6">
                  <c:v>254012.5</c:v>
                </c:pt>
                <c:pt idx="7">
                  <c:v>245821</c:v>
                </c:pt>
                <c:pt idx="8">
                  <c:v>240043.25</c:v>
                </c:pt>
                <c:pt idx="9">
                  <c:v>220256.25</c:v>
                </c:pt>
                <c:pt idx="10">
                  <c:v>220411.75</c:v>
                </c:pt>
                <c:pt idx="11">
                  <c:v>205388.75</c:v>
                </c:pt>
                <c:pt idx="12">
                  <c:v>197020.25</c:v>
                </c:pt>
                <c:pt idx="13">
                  <c:v>207095.5</c:v>
                </c:pt>
                <c:pt idx="14">
                  <c:v>210532.75</c:v>
                </c:pt>
                <c:pt idx="15">
                  <c:v>220453.75</c:v>
                </c:pt>
                <c:pt idx="16">
                  <c:v>241377.25</c:v>
                </c:pt>
                <c:pt idx="17">
                  <c:v>243381.25</c:v>
                </c:pt>
                <c:pt idx="18">
                  <c:v>270079.25</c:v>
                </c:pt>
                <c:pt idx="19">
                  <c:v>271159</c:v>
                </c:pt>
                <c:pt idx="20">
                  <c:v>300617.5</c:v>
                </c:pt>
                <c:pt idx="21">
                  <c:v>334638.25</c:v>
                </c:pt>
                <c:pt idx="22">
                  <c:v>366483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8C-46FF-9D13-752B57905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79392"/>
        <c:axId val="1962179808"/>
      </c:barChart>
      <c:catAx>
        <c:axId val="19621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808"/>
        <c:crosses val="autoZero"/>
        <c:auto val="1"/>
        <c:lblAlgn val="ctr"/>
        <c:lblOffset val="100"/>
        <c:noMultiLvlLbl val="0"/>
      </c:catAx>
      <c:valAx>
        <c:axId val="1962179808"/>
        <c:scaling>
          <c:orientation val="minMax"/>
          <c:max val="37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392"/>
        <c:crosses val="autoZero"/>
        <c:crossBetween val="between"/>
        <c:minorUnit val="5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0.2%</a:t>
            </a:r>
          </a:p>
        </c:rich>
      </c:tx>
      <c:layout>
        <c:manualLayout>
          <c:xMode val="edge"/>
          <c:yMode val="edge"/>
          <c:x val="0.3056711140274132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Charts'!$A$10</c:f>
              <c:strCache>
                <c:ptCount val="1"/>
                <c:pt idx="0">
                  <c:v> Racine </c:v>
                </c:pt>
              </c:strCache>
            </c:strRef>
          </c:cat>
          <c:val>
            <c:numRef>
              <c:f>'Qtr Charts'!$B$10</c:f>
              <c:numCache>
                <c:formatCode>_(* #,##0_);_(* \(#,##0\);_(* "-"??_);_(@_)</c:formatCode>
                <c:ptCount val="1"/>
                <c:pt idx="0">
                  <c:v>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BC-440E-AD97-FFFE75F01EF7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BC-440E-AD97-FFFE75F01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Charts'!$A$10</c:f>
              <c:strCache>
                <c:ptCount val="1"/>
                <c:pt idx="0">
                  <c:v> Racine </c:v>
                </c:pt>
              </c:strCache>
            </c:strRef>
          </c:cat>
          <c:val>
            <c:numRef>
              <c:f>'Qtr Charts'!$C$10</c:f>
              <c:numCache>
                <c:formatCode>_(* #,##0_);_(* \(#,##0\);_(* "-"??_);_(@_)</c:formatCode>
                <c:ptCount val="1"/>
                <c:pt idx="0">
                  <c:v>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BC-440E-AD97-FFFE75F01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Charts'!$A$10</c15:sqref>
                        </c15:formulaRef>
                      </c:ext>
                    </c:extLst>
                    <c:strCache>
                      <c:ptCount val="1"/>
                      <c:pt idx="0">
                        <c:v> Racine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F0BC-440E-AD97-FFFE75F01EF7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- 5.6%</a:t>
            </a:r>
          </a:p>
        </c:rich>
      </c:tx>
      <c:layout>
        <c:manualLayout>
          <c:xMode val="edge"/>
          <c:yMode val="edge"/>
          <c:x val="0.31030074365704285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273148148148143"/>
          <c:w val="0.78548993875765527"/>
          <c:h val="0.58245844269466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Charts'!$A$11</c:f>
              <c:strCache>
                <c:ptCount val="1"/>
                <c:pt idx="0">
                  <c:v> Kenosha </c:v>
                </c:pt>
              </c:strCache>
            </c:strRef>
          </c:cat>
          <c:val>
            <c:numRef>
              <c:f>'Qtr Charts'!$B$11</c:f>
              <c:numCache>
                <c:formatCode>_(* #,##0_);_(* \(#,##0\);_(* "-"??_);_(@_)</c:formatCode>
                <c:ptCount val="1"/>
                <c:pt idx="0">
                  <c:v>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21-4F1A-AEB9-D939A0AB5A7F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21-4F1A-AEB9-D939A0AB5A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Charts'!$A$11</c:f>
              <c:strCache>
                <c:ptCount val="1"/>
                <c:pt idx="0">
                  <c:v> Kenosha </c:v>
                </c:pt>
              </c:strCache>
            </c:strRef>
          </c:cat>
          <c:val>
            <c:numRef>
              <c:f>'Qtr Charts'!$C$11</c:f>
              <c:numCache>
                <c:formatCode>_(* #,##0_);_(* \(#,##0\);_(* "-"??_);_(@_)</c:formatCode>
                <c:ptCount val="1"/>
                <c:pt idx="0">
                  <c:v>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21-4F1A-AEB9-D939A0AB5A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Charts'!$A$11</c15:sqref>
                        </c15:formulaRef>
                      </c:ext>
                    </c:extLst>
                    <c:strCache>
                      <c:ptCount val="1"/>
                      <c:pt idx="0">
                        <c:v> Kenosha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421-4F1A-AEB9-D939A0AB5A7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- 2.3%</a:t>
            </a:r>
          </a:p>
        </c:rich>
      </c:tx>
      <c:layout>
        <c:manualLayout>
          <c:xMode val="edge"/>
          <c:yMode val="edge"/>
          <c:x val="0.28252296587926506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1884259259259256"/>
          <c:w val="0.78548993875765527"/>
          <c:h val="0.596347331583552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Charts'!$A$12</c:f>
              <c:strCache>
                <c:ptCount val="1"/>
                <c:pt idx="0">
                  <c:v> Walworth </c:v>
                </c:pt>
              </c:strCache>
            </c:strRef>
          </c:cat>
          <c:val>
            <c:numRef>
              <c:f>'Qtr Charts'!$B$12</c:f>
              <c:numCache>
                <c:formatCode>_(* #,##0_);_(* \(#,##0\);_(* "-"??_);_(@_)</c:formatCode>
                <c:ptCount val="1"/>
                <c:pt idx="0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A1-47EC-88F2-2AD947982104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A1-47EC-88F2-2AD9479821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Charts'!$A$12</c:f>
              <c:strCache>
                <c:ptCount val="1"/>
                <c:pt idx="0">
                  <c:v> Walworth </c:v>
                </c:pt>
              </c:strCache>
            </c:strRef>
          </c:cat>
          <c:val>
            <c:numRef>
              <c:f>'Qtr Charts'!$C$12</c:f>
              <c:numCache>
                <c:formatCode>_(* #,##0_);_(* \(#,##0\);_(* "-"??_);_(@_)</c:formatCode>
                <c:ptCount val="1"/>
                <c:pt idx="0">
                  <c:v>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A1-47EC-88F2-2AD947982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Charts'!$A$12</c15:sqref>
                        </c15:formulaRef>
                      </c:ext>
                    </c:extLst>
                    <c:strCache>
                      <c:ptCount val="1"/>
                      <c:pt idx="0">
                        <c:v> Walworth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7A1-47EC-88F2-2AD947982104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0.9%</a:t>
            </a:r>
          </a:p>
        </c:rich>
      </c:tx>
      <c:layout>
        <c:manualLayout>
          <c:xMode val="edge"/>
          <c:yMode val="edge"/>
          <c:x val="0.31326370662000586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Charts'!$A$13</c:f>
              <c:strCache>
                <c:ptCount val="1"/>
                <c:pt idx="0">
                  <c:v> SE WI Area </c:v>
                </c:pt>
              </c:strCache>
            </c:strRef>
          </c:cat>
          <c:val>
            <c:numRef>
              <c:f>'Qtr Charts'!$B$13</c:f>
              <c:numCache>
                <c:formatCode>_(* #,##0_);_(* \(#,##0\);_(* "-"??_);_(@_)</c:formatCode>
                <c:ptCount val="1"/>
                <c:pt idx="0">
                  <c:v>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77-4EE2-926E-971D321BA25D}"/>
            </c:ext>
          </c:extLst>
        </c:ser>
        <c:ser>
          <c:idx val="1"/>
          <c:order val="1"/>
          <c:tx>
            <c:strRef>
              <c:f>'Qtr Charts'!$C$3</c:f>
              <c:strCache>
                <c:ptCount val="1"/>
                <c:pt idx="0">
                  <c:v> 2022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77-4EE2-926E-971D321BA2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Charts'!$A$13</c:f>
              <c:strCache>
                <c:ptCount val="1"/>
                <c:pt idx="0">
                  <c:v> SE WI Area </c:v>
                </c:pt>
              </c:strCache>
            </c:strRef>
          </c:cat>
          <c:val>
            <c:numRef>
              <c:f>'Qtr Charts'!$C$13</c:f>
              <c:numCache>
                <c:formatCode>_(* #,##0_);_(* \(#,##0\);_(* "-"??_);_(@_)</c:formatCode>
                <c:ptCount val="1"/>
                <c:pt idx="0">
                  <c:v>5390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77-4EE2-926E-971D321BA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Charts'!$A$13</c15:sqref>
                        </c15:formulaRef>
                      </c:ext>
                    </c:extLst>
                    <c:strCache>
                      <c:ptCount val="1"/>
                      <c:pt idx="0">
                        <c:v> SE WI Area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F477-4EE2-926E-971D321BA25D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2.6%</a:t>
            </a:r>
          </a:p>
        </c:rich>
      </c:tx>
      <c:layout>
        <c:manualLayout>
          <c:xMode val="edge"/>
          <c:yMode val="edge"/>
          <c:x val="0.23622666958296878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'Qtr Charts'!$B$63</c:f>
              <c:numCache>
                <c:formatCode>_(* #,##0_);_(* \(#,##0\);_(* "-"??_);_(@_)</c:formatCode>
                <c:ptCount val="1"/>
                <c:pt idx="0">
                  <c:v>3144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7D-405E-863E-98BC9312D8B9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7D-405E-863E-98BC9312D8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'Qtr Charts'!$C$63</c:f>
              <c:numCache>
                <c:formatCode>_(* #,##0_);_(* \(#,##0\);_(* "-"??_);_(@_)</c:formatCode>
                <c:ptCount val="1"/>
                <c:pt idx="0">
                  <c:v>3227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7D-405E-863E-98BC9312D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Charts'!$A$63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77D-405E-863E-98BC9312D8B9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</a:t>
            </a:r>
            <a:r>
              <a:rPr lang="en-US" b="1" baseline="0">
                <a:solidFill>
                  <a:sysClr val="windowText" lastClr="000000"/>
                </a:solidFill>
              </a:rPr>
              <a:t> 2</a:t>
            </a:r>
            <a:r>
              <a:rPr lang="en-US" b="1">
                <a:solidFill>
                  <a:sysClr val="windowText" lastClr="000000"/>
                </a:solidFill>
              </a:rPr>
              <a:t>.8%</a:t>
            </a:r>
          </a:p>
        </c:rich>
      </c:tx>
      <c:layout>
        <c:manualLayout>
          <c:xMode val="edge"/>
          <c:yMode val="edge"/>
          <c:x val="0.27201370662000585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'Qtr Charts'!$B$64</c:f>
              <c:numCache>
                <c:formatCode>_(* #,##0_);_(* \(#,##0\);_(* "-"??_);_(@_)</c:formatCode>
                <c:ptCount val="1"/>
                <c:pt idx="0">
                  <c:v>1257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5A-4F30-80F5-C21CBCEBB8C1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5A-4F30-80F5-C21CBCEBB8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'Qtr Charts'!$C$64</c:f>
              <c:numCache>
                <c:formatCode>_(* #,##0_);_(* \(#,##0\);_(* "-"??_);_(@_)</c:formatCode>
                <c:ptCount val="1"/>
                <c:pt idx="0">
                  <c:v>1222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5A-4F30-80F5-C21CBCEBB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Charts'!$A$64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85A-4F30-80F5-C21CBCEBB8C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- 9.9%</a:t>
            </a:r>
          </a:p>
        </c:rich>
      </c:tx>
      <c:layout>
        <c:manualLayout>
          <c:xMode val="edge"/>
          <c:yMode val="edge"/>
          <c:x val="0.246492782152230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'Qtr Charts'!$B$66</c:f>
              <c:numCache>
                <c:formatCode>_(* #,##0_);_(* \(#,##0\);_(* "-"??_);_(@_)</c:formatCode>
                <c:ptCount val="1"/>
                <c:pt idx="0">
                  <c:v>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9F-416C-B507-0BEC10D1BE61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9F-416C-B507-0BEC10D1BE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'Qtr Charts'!$C$66</c:f>
              <c:numCache>
                <c:formatCode>_(* #,##0_);_(* \(#,##0\);_(* "-"??_);_(@_)</c:formatCode>
                <c:ptCount val="1"/>
                <c:pt idx="0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9F-416C-B507-0BEC10D1B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Charts'!$A$66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6E9F-416C-B507-0BEC10D1BE6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- 9.0%</a:t>
            </a:r>
          </a:p>
        </c:rich>
      </c:tx>
      <c:layout>
        <c:manualLayout>
          <c:xMode val="edge"/>
          <c:yMode val="edge"/>
          <c:x val="0.2270137066200058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6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Charts'!$A$65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'Qtr Charts'!$B$65</c:f>
              <c:numCache>
                <c:formatCode>_(* #,##0_);_(* \(#,##0\);_(* "-"??_);_(@_)</c:formatCode>
                <c:ptCount val="1"/>
                <c:pt idx="0">
                  <c:v>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A0-4AAC-912D-2B248E0358F7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A0-4AAC-912D-2B248E0358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Charts'!$A$65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'Qtr Charts'!$C$65</c:f>
              <c:numCache>
                <c:formatCode>_(* #,##0_);_(* \(#,##0\);_(* "-"??_);_(@_)</c:formatCode>
                <c:ptCount val="1"/>
                <c:pt idx="0">
                  <c:v>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A0-4AAC-912D-2B248E0358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Charts'!$A$65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2A0-4AAC-912D-2B248E0358F7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- 0.5%</a:t>
            </a:r>
          </a:p>
        </c:rich>
      </c:tx>
      <c:layout>
        <c:manualLayout>
          <c:xMode val="edge"/>
          <c:yMode val="edge"/>
          <c:x val="0.22993037328667251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'Qtr Charts'!$B$67</c:f>
              <c:numCache>
                <c:formatCode>_(* #,##0_);_(* \(#,##0\);_(* "-"??_);_(@_)</c:formatCode>
                <c:ptCount val="1"/>
                <c:pt idx="0">
                  <c:v>5193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2-46CB-9160-1570C86F52F0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72-46CB-9160-1570C86F52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'Qtr Charts'!$C$67</c:f>
              <c:numCache>
                <c:formatCode>_(* #,##0_);_(* \(#,##0\);_(* "-"??_);_(@_)</c:formatCode>
                <c:ptCount val="1"/>
                <c:pt idx="0">
                  <c:v>5167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72-46CB-9160-1570C86F52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Charts'!$A$67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1D72-46CB-9160-1570C86F52F0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 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- 0.7%</a:t>
            </a:r>
          </a:p>
        </c:rich>
      </c:tx>
      <c:layout>
        <c:manualLayout>
          <c:xMode val="edge"/>
          <c:yMode val="edge"/>
          <c:x val="0.2932290755322251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'Qtr Charts'!$B$72</c:f>
              <c:numCache>
                <c:formatCode>#,##0</c:formatCode>
                <c:ptCount val="1"/>
                <c:pt idx="0">
                  <c:v>6786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2-4889-BDFC-556C2C5F8D26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A2-4889-BDFC-556C2C5F8D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'Qtr Charts'!$C$72</c:f>
              <c:numCache>
                <c:formatCode>#,##0</c:formatCode>
                <c:ptCount val="1"/>
                <c:pt idx="0">
                  <c:v>6736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A2-4889-BDFC-556C2C5F8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Charts'!$A$72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0AA2-4889-BDFC-556C2C5F8D26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4 Cty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6B-436E-B2C0-CBBA8CF6A5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Data'!$B$167:$B$189</c:f>
              <c:numCache>
                <c:formatCode>General</c:formatCod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numCache>
            </c:numRef>
          </c:cat>
          <c:val>
            <c:numRef>
              <c:f>'1st Qtr County Data'!$C$167:$C$189</c:f>
              <c:numCache>
                <c:formatCode>_(* #,##0_);_(* \(#,##0\);_(* "-"??_);_(@_)</c:formatCode>
                <c:ptCount val="23"/>
                <c:pt idx="0">
                  <c:v>2716</c:v>
                </c:pt>
                <c:pt idx="1">
                  <c:v>3107</c:v>
                </c:pt>
                <c:pt idx="2">
                  <c:v>3371</c:v>
                </c:pt>
                <c:pt idx="3">
                  <c:v>3633</c:v>
                </c:pt>
                <c:pt idx="4">
                  <c:v>3506</c:v>
                </c:pt>
                <c:pt idx="5">
                  <c:v>3727</c:v>
                </c:pt>
                <c:pt idx="6">
                  <c:v>3830</c:v>
                </c:pt>
                <c:pt idx="7">
                  <c:v>3596</c:v>
                </c:pt>
                <c:pt idx="8">
                  <c:v>2673</c:v>
                </c:pt>
                <c:pt idx="9">
                  <c:v>2322</c:v>
                </c:pt>
                <c:pt idx="10">
                  <c:v>2495</c:v>
                </c:pt>
                <c:pt idx="11">
                  <c:v>2377</c:v>
                </c:pt>
                <c:pt idx="12">
                  <c:v>2907</c:v>
                </c:pt>
                <c:pt idx="13">
                  <c:v>3318</c:v>
                </c:pt>
                <c:pt idx="14">
                  <c:v>2996</c:v>
                </c:pt>
                <c:pt idx="15">
                  <c:v>3272</c:v>
                </c:pt>
                <c:pt idx="16">
                  <c:v>3375</c:v>
                </c:pt>
                <c:pt idx="17">
                  <c:v>3498</c:v>
                </c:pt>
                <c:pt idx="18">
                  <c:v>3787</c:v>
                </c:pt>
                <c:pt idx="19">
                  <c:v>3498</c:v>
                </c:pt>
                <c:pt idx="20">
                  <c:v>3825</c:v>
                </c:pt>
                <c:pt idx="21">
                  <c:v>3933</c:v>
                </c:pt>
                <c:pt idx="22">
                  <c:v>4013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6B-436E-B2C0-CBBA8CF6A5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0.3%</a:t>
            </a:r>
          </a:p>
        </c:rich>
      </c:tx>
      <c:layout>
        <c:manualLayout>
          <c:xMode val="edge"/>
          <c:yMode val="edge"/>
          <c:x val="0.29641185476815396"/>
          <c:y val="7.275080198308544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'Qtr Charts'!$B$69</c:f>
              <c:numCache>
                <c:formatCode>_(* #,##0_);_(* \(#,##0\);_(* "-"??_);_(@_)</c:formatCode>
                <c:ptCount val="1"/>
                <c:pt idx="0">
                  <c:v>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1B-4BA1-AAC6-284A6A431D56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1B-4BA1-AAC6-284A6A431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'Qtr Charts'!$C$69</c:f>
              <c:numCache>
                <c:formatCode>_(* #,##0_);_(* \(#,##0\);_(* "-"??_);_(@_)</c:formatCode>
                <c:ptCount val="1"/>
                <c:pt idx="0">
                  <c:v>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1B-4BA1-AAC6-284A6A431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Charts'!$A$69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D1B-4BA1-AAC6-284A6A431D56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1.6%</a:t>
            </a:r>
          </a:p>
        </c:rich>
      </c:tx>
      <c:layout>
        <c:manualLayout>
          <c:xMode val="edge"/>
          <c:yMode val="edge"/>
          <c:x val="0.26863407699037622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'Qtr Charts'!$B$70</c:f>
              <c:numCache>
                <c:formatCode>_(* #,##0_);_(* \(#,##0\);_(* "-"??_);_(@_)</c:formatCode>
                <c:ptCount val="1"/>
                <c:pt idx="0">
                  <c:v>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2-4990-B7BF-2D2008C97935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22-4990-B7BF-2D2008C979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'Qtr Charts'!$C$70</c:f>
              <c:numCache>
                <c:formatCode>_(* #,##0_);_(* \(#,##0\);_(* "-"??_);_(@_)</c:formatCode>
                <c:ptCount val="1"/>
                <c:pt idx="0">
                  <c:v>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22-4990-B7BF-2D2008C97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Charts'!$A$70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A22-4990-B7BF-2D2008C97935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1st Qtr </a:t>
            </a:r>
            <a:r>
              <a:rPr lang="en-US" b="1">
                <a:solidFill>
                  <a:sysClr val="windowText" lastClr="000000"/>
                </a:solidFill>
              </a:rPr>
              <a:t> Listings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- 7.7%</a:t>
            </a:r>
          </a:p>
        </c:rich>
      </c:tx>
      <c:layout>
        <c:manualLayout>
          <c:xMode val="edge"/>
          <c:yMode val="edge"/>
          <c:x val="0.26400444736074657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'Qtr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'Qtr Charts'!$B$71</c:f>
              <c:numCache>
                <c:formatCode>_(* #,##0_);_(* \(#,##0\);_(* "-"??_);_(@_)</c:formatCode>
                <c:ptCount val="1"/>
                <c:pt idx="0">
                  <c:v>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92-4BF9-8817-829719C3EF5C}"/>
            </c:ext>
          </c:extLst>
        </c:ser>
        <c:ser>
          <c:idx val="1"/>
          <c:order val="1"/>
          <c:tx>
            <c:strRef>
              <c:f>'Qtr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92-4BF9-8817-829719C3EF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'Qtr Charts'!$A$71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'Qtr Charts'!$C$71</c:f>
              <c:numCache>
                <c:formatCode>_(* #,##0_);_(* \(#,##0\);_(* "-"??_);_(@_)</c:formatCode>
                <c:ptCount val="1"/>
                <c:pt idx="0">
                  <c:v>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92-4BF9-8817-829719C3E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'Qtr Charts'!$D$3</c15:sqref>
                        </c15:formulaRef>
                      </c:ext>
                    </c:extLst>
                    <c:strCache>
                      <c:ptCount val="1"/>
                      <c:pt idx="0">
                        <c:v> % Change 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'Qtr Charts'!$A$71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'Qtr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5.8999999999999997E-2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1592-4BF9-8817-829719C3EF5C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7 Cty</a:t>
            </a:r>
            <a:r>
              <a:rPr lang="en-US" baseline="0">
                <a:solidFill>
                  <a:sysClr val="windowText" lastClr="000000"/>
                </a:solidFill>
              </a:rPr>
              <a:t> Avg Sale Price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Data'!$B$279:$B$301</c:f>
              <c:numCache>
                <c:formatCode>General</c:formatCod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numCache>
            </c:numRef>
          </c:cat>
          <c:val>
            <c:numRef>
              <c:f>'1st Qtr County Data'!$D$279:$D$301</c:f>
              <c:numCache>
                <c:formatCode>_("$"* #,##0_);_("$"* \(#,##0\);_("$"* "-"??_);_(@_)</c:formatCode>
                <c:ptCount val="23"/>
                <c:pt idx="0">
                  <c:v>155170.28571428571</c:v>
                </c:pt>
                <c:pt idx="1">
                  <c:v>162517.71428571429</c:v>
                </c:pt>
                <c:pt idx="2">
                  <c:v>172249.71428571429</c:v>
                </c:pt>
                <c:pt idx="3">
                  <c:v>188089.71428571429</c:v>
                </c:pt>
                <c:pt idx="4">
                  <c:v>200225.71428571429</c:v>
                </c:pt>
                <c:pt idx="5">
                  <c:v>219169.57142857142</c:v>
                </c:pt>
                <c:pt idx="6">
                  <c:v>233539.71428571429</c:v>
                </c:pt>
                <c:pt idx="7">
                  <c:v>234413.85714285713</c:v>
                </c:pt>
                <c:pt idx="8">
                  <c:v>225345.71428571429</c:v>
                </c:pt>
                <c:pt idx="9">
                  <c:v>200714</c:v>
                </c:pt>
                <c:pt idx="10">
                  <c:v>196896.14285714287</c:v>
                </c:pt>
                <c:pt idx="11" formatCode="_(* #,##0_);_(* \(#,##0\);_(* &quot;-&quot;??_);_(@_)">
                  <c:v>181497</c:v>
                </c:pt>
                <c:pt idx="12">
                  <c:v>176649.71428571429</c:v>
                </c:pt>
                <c:pt idx="13">
                  <c:v>184704.28571428571</c:v>
                </c:pt>
                <c:pt idx="14">
                  <c:v>176077.42857142858</c:v>
                </c:pt>
                <c:pt idx="15">
                  <c:v>206008.28571428571</c:v>
                </c:pt>
                <c:pt idx="16">
                  <c:v>214226.28571428571</c:v>
                </c:pt>
                <c:pt idx="17">
                  <c:v>231040</c:v>
                </c:pt>
                <c:pt idx="18">
                  <c:v>257044.85714285713</c:v>
                </c:pt>
                <c:pt idx="19">
                  <c:v>248755.28571428571</c:v>
                </c:pt>
                <c:pt idx="20">
                  <c:v>280496.85714285716</c:v>
                </c:pt>
                <c:pt idx="21">
                  <c:v>318194.71428571426</c:v>
                </c:pt>
                <c:pt idx="22">
                  <c:v>352443.14285714284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38-422C-A473-A66ED869F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83136"/>
        <c:axId val="1962174400"/>
      </c:barChart>
      <c:catAx>
        <c:axId val="19621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4400"/>
        <c:crosses val="autoZero"/>
        <c:auto val="1"/>
        <c:lblAlgn val="ctr"/>
        <c:lblOffset val="100"/>
        <c:noMultiLvlLbl val="0"/>
      </c:catAx>
      <c:valAx>
        <c:axId val="1962174400"/>
        <c:scaling>
          <c:orientation val="minMax"/>
          <c:max val="4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8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7 Cty Total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66-4403-883F-1EC5A1B2CD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Data'!$B$279:$B$301</c:f>
              <c:numCache>
                <c:formatCode>General</c:formatCod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numCache>
            </c:numRef>
          </c:cat>
          <c:val>
            <c:numRef>
              <c:f>'1st Qtr County Data'!$C$279:$C$301</c:f>
              <c:numCache>
                <c:formatCode>_(* #,##0_);_(* \(#,##0\);_(* "-"??_);_(@_)</c:formatCode>
                <c:ptCount val="23"/>
                <c:pt idx="0">
                  <c:v>3715</c:v>
                </c:pt>
                <c:pt idx="1">
                  <c:v>4188</c:v>
                </c:pt>
                <c:pt idx="2">
                  <c:v>4611</c:v>
                </c:pt>
                <c:pt idx="3">
                  <c:v>4792</c:v>
                </c:pt>
                <c:pt idx="4">
                  <c:v>4843</c:v>
                </c:pt>
                <c:pt idx="5">
                  <c:v>5016</c:v>
                </c:pt>
                <c:pt idx="6">
                  <c:v>5122</c:v>
                </c:pt>
                <c:pt idx="7">
                  <c:v>4740</c:v>
                </c:pt>
                <c:pt idx="8">
                  <c:v>3551</c:v>
                </c:pt>
                <c:pt idx="9">
                  <c:v>2944</c:v>
                </c:pt>
                <c:pt idx="10">
                  <c:v>3339</c:v>
                </c:pt>
                <c:pt idx="11">
                  <c:v>3184</c:v>
                </c:pt>
                <c:pt idx="12">
                  <c:v>3878</c:v>
                </c:pt>
                <c:pt idx="13">
                  <c:v>4449</c:v>
                </c:pt>
                <c:pt idx="14">
                  <c:v>4021</c:v>
                </c:pt>
                <c:pt idx="15">
                  <c:v>4374</c:v>
                </c:pt>
                <c:pt idx="16">
                  <c:v>4611</c:v>
                </c:pt>
                <c:pt idx="17">
                  <c:v>4625</c:v>
                </c:pt>
                <c:pt idx="18">
                  <c:v>5047</c:v>
                </c:pt>
                <c:pt idx="19">
                  <c:v>4710</c:v>
                </c:pt>
                <c:pt idx="20">
                  <c:v>5083</c:v>
                </c:pt>
                <c:pt idx="21">
                  <c:v>5343</c:v>
                </c:pt>
                <c:pt idx="22">
                  <c:v>5390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66-4403-883F-1EC5A1B2C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 algn="ctr">
              <a:defRPr/>
            </a:pPr>
            <a:r>
              <a:rPr lang="en-US" b="1">
                <a:solidFill>
                  <a:sysClr val="windowText" lastClr="000000"/>
                </a:solidFill>
              </a:rPr>
              <a:t>Mar 2022 Sales </a:t>
            </a:r>
          </a:p>
          <a:p>
            <a:pPr algn="ctr">
              <a:defRPr/>
            </a:pPr>
            <a:r>
              <a:rPr lang="en-US" b="1">
                <a:solidFill>
                  <a:sysClr val="windowText" lastClr="000000"/>
                </a:solidFill>
              </a:rPr>
              <a:t>8.0%</a:t>
            </a:r>
          </a:p>
        </c:rich>
      </c:tx>
      <c:layout>
        <c:manualLayout>
          <c:xMode val="edge"/>
          <c:yMode val="edge"/>
          <c:x val="0.25469030378862534"/>
          <c:y val="2.645597367928994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Charts'!$A$4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Charts'!$B$4</c:f>
              <c:numCache>
                <c:formatCode>General</c:formatCode>
                <c:ptCount val="1"/>
                <c:pt idx="0">
                  <c:v>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C-4D34-BDF2-98B841DA41AE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2C-4D34-BDF2-98B841DA41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Charts'!$A$4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Charts'!$C$4</c:f>
              <c:numCache>
                <c:formatCode>General</c:formatCode>
                <c:ptCount val="1"/>
                <c:pt idx="0">
                  <c:v>1036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2C-4D34-BDF2-98B841DA4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Charts'!$A$4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32C-4D34-BDF2-98B841DA41AE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- 6.0%</a:t>
            </a:r>
          </a:p>
        </c:rich>
      </c:tx>
      <c:layout>
        <c:manualLayout>
          <c:xMode val="edge"/>
          <c:yMode val="edge"/>
          <c:x val="0.26732934265669261"/>
          <c:y val="3.652841205206181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Charts'!$A$5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Charts'!$B$5</c:f>
              <c:numCache>
                <c:formatCode>General</c:formatCode>
                <c:ptCount val="1"/>
                <c:pt idx="0">
                  <c:v>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C-4FE4-AB6C-67187F5202ED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7C-4FE4-AB6C-67187F5202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Charts'!$A$5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Charts'!$C$5</c:f>
              <c:numCache>
                <c:formatCode>General</c:formatCode>
                <c:ptCount val="1"/>
                <c:pt idx="0">
                  <c:v>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7C-4FE4-AB6C-67187F5202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Charts'!$A$5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67C-4FE4-AB6C-67187F5202ED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/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Mar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/>
            </a:pPr>
            <a:r>
              <a:rPr lang="en-US" b="1">
                <a:solidFill>
                  <a:sysClr val="windowText" lastClr="000000"/>
                </a:solidFill>
              </a:rPr>
              <a:t>13.4%</a:t>
            </a:r>
          </a:p>
        </c:rich>
      </c:tx>
      <c:layout>
        <c:manualLayout>
          <c:xMode val="edge"/>
          <c:yMode val="edge"/>
          <c:x val="0.250161854768154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Charts'!$B$6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1-4EE6-B5AC-BEEB6F4E37A2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1-4EE6-B5AC-BEEB6F4E37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Charts'!$C$6</c:f>
              <c:numCache>
                <c:formatCode>General</c:formatCode>
                <c:ptCount val="1"/>
                <c:pt idx="0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F1-4EE6-B5AC-BEEB6F4E37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0.08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2F1-4EE6-B5AC-BEEB6F4E37A2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7</cp:revision>
  <cp:lastPrinted>2022-04-12T02:38:00Z</cp:lastPrinted>
  <dcterms:created xsi:type="dcterms:W3CDTF">2022-04-09T20:02:00Z</dcterms:created>
  <dcterms:modified xsi:type="dcterms:W3CDTF">2022-04-12T13:00:00Z</dcterms:modified>
</cp:coreProperties>
</file>