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6539FBCC" w:rsidR="00127EF0" w:rsidRDefault="006146B0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w:pict w14:anchorId="29A976A9">
          <v:rect id="Rectangle 30" o:spid="_x0000_s2051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" filled="f" stroked="f" strokeweight="1pt">
            <v:textbox>
              <w:txbxContent>
                <w:p w14:paraId="647EB74D" w14:textId="0026AA48" w:rsidR="00AD4C46" w:rsidRPr="000478F6" w:rsidRDefault="00775F51" w:rsidP="006E0DB1">
                  <w:pPr>
                    <w:ind w:firstLine="720"/>
                    <w:jc w:val="right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October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1</w:t>
                  </w: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1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>, 2023</w:t>
                  </w:r>
                </w:p>
                <w:p w14:paraId="12DC1A80" w14:textId="20F159D3" w:rsidR="00AD4C46" w:rsidRDefault="00AD4C46" w:rsidP="006E0DB1">
                  <w:pPr>
                    <w:ind w:firstLine="720"/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14:paraId="660FA567" w14:textId="77777777" w:rsidR="00AD4C46" w:rsidRPr="001F5CBD" w:rsidRDefault="00AD4C46" w:rsidP="006E0DB1">
                  <w:pPr>
                    <w:ind w:firstLine="720"/>
                    <w:jc w:val="right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3FA0332F">
          <v:rect id="Rectangle 9" o:spid="_x0000_s2050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" filled="f" stroked="f" strokeweight="1pt">
            <v:textbox>
              <w:txbxContent>
                <w:p w14:paraId="111E8FBD" w14:textId="77777777" w:rsidR="00086B75" w:rsidRPr="000478F6" w:rsidRDefault="00086B75" w:rsidP="00AD4C46">
                  <w:pPr>
                    <w:pStyle w:val="FORIMMEDIATERELEASE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For Immediate Release</w:t>
                  </w:r>
                </w:p>
                <w:p w14:paraId="5C7CF5D6" w14:textId="115A5D42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 xml:space="preserve">Contact:  </w:t>
                  </w:r>
                  <w:r w:rsidR="007B1281">
                    <w:rPr>
                      <w:color w:val="FFFFFF" w:themeColor="background1"/>
                    </w:rPr>
                    <w:t>Mike Ruzicka</w:t>
                  </w:r>
                </w:p>
                <w:p w14:paraId="40F00B14" w14:textId="465C6961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414.778.4929 or 414.870.187</w:t>
                  </w:r>
                  <w:r w:rsidR="00DA467F">
                    <w:rPr>
                      <w:color w:val="FFFFFF" w:themeColor="background1"/>
                    </w:rPr>
                    <w:t>4</w:t>
                  </w:r>
                </w:p>
                <w:p w14:paraId="53E5CD2A" w14:textId="09B004E0" w:rsidR="00086B75" w:rsidRPr="00AD4C46" w:rsidRDefault="006146B0" w:rsidP="00AD4C46">
                  <w:pPr>
                    <w:pStyle w:val="ContactInfoUpperLeft"/>
                  </w:pPr>
                  <w:hyperlink r:id="rId8" w:history="1">
                    <w:r w:rsidR="00086B75" w:rsidRPr="000478F6">
                      <w:rPr>
                        <w:rStyle w:val="Hyperlink"/>
                        <w:color w:val="FFFFFF" w:themeColor="background1"/>
                        <w:u w:val="none"/>
                      </w:rPr>
                      <w:t>mike@gmar.</w:t>
                    </w:r>
                  </w:hyperlink>
                  <w:r w:rsidR="00086B75" w:rsidRPr="000478F6">
                    <w:rPr>
                      <w:rStyle w:val="Hyperlink"/>
                      <w:color w:val="FFFFFF" w:themeColor="background1"/>
                      <w:u w:val="none"/>
                    </w:rPr>
                    <w:t>com</w:t>
                  </w:r>
                </w:p>
              </w:txbxContent>
            </v:textbox>
          </v:rect>
        </w:pic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22D4D866" w:rsidR="00775F51" w:rsidRDefault="00775F51" w:rsidP="00AD4C46">
      <w:pPr>
        <w:pStyle w:val="Heading1"/>
      </w:pPr>
      <w:r>
        <w:t>3</w:t>
      </w:r>
      <w:r w:rsidRPr="00775F51">
        <w:rPr>
          <w:vertAlign w:val="superscript"/>
        </w:rPr>
        <w:t>rd</w:t>
      </w:r>
      <w:r>
        <w:t xml:space="preserve"> Quarter Home Sales Down </w:t>
      </w:r>
      <w:r w:rsidR="00607B60">
        <w:t>22</w:t>
      </w:r>
      <w:r>
        <w:t>.</w:t>
      </w:r>
      <w:r w:rsidR="00607B60">
        <w:t>9</w:t>
      </w:r>
      <w:r>
        <w:t>%</w:t>
      </w:r>
    </w:p>
    <w:p w14:paraId="4EFD022F" w14:textId="09ADDD0B" w:rsidR="00127EF0" w:rsidRPr="00AD4C46" w:rsidRDefault="00775F51" w:rsidP="00AD4C46">
      <w:pPr>
        <w:pStyle w:val="Heading1"/>
      </w:pPr>
      <w:r>
        <w:t>September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03F2F" w:rsidRPr="00AD4C46">
        <w:t>Down</w:t>
      </w:r>
      <w:r w:rsidR="00681DC8" w:rsidRPr="00AD4C46">
        <w:t xml:space="preserve"> </w:t>
      </w:r>
      <w:r w:rsidR="00A45D52">
        <w:t>1</w:t>
      </w:r>
      <w:r w:rsidR="00607B60">
        <w:t>9</w:t>
      </w:r>
      <w:r w:rsidR="009A6291" w:rsidRPr="00AD4C46">
        <w:t>.</w:t>
      </w:r>
      <w:r w:rsidR="00607B60">
        <w:t>3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1CFBC624" w:rsidR="00E302C4" w:rsidRPr="002F2B80" w:rsidRDefault="00F75F7E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 High</w:t>
            </w:r>
            <w:r w:rsidR="00607B60">
              <w:rPr>
                <w:sz w:val="24"/>
                <w:szCs w:val="24"/>
              </w:rPr>
              <w:t xml:space="preserve"> for Listings </w:t>
            </w:r>
            <w:r>
              <w:rPr>
                <w:sz w:val="24"/>
                <w:szCs w:val="24"/>
              </w:rPr>
              <w:t>Under $500K</w:t>
            </w:r>
            <w:r w:rsidR="00E31F8C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259EBA3F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Grew for </w:t>
            </w:r>
            <w:r w:rsidR="00607B60">
              <w:rPr>
                <w:sz w:val="24"/>
                <w:szCs w:val="24"/>
              </w:rPr>
              <w:t>2</w:t>
            </w:r>
            <w:r w:rsidR="00607B60" w:rsidRPr="00607B60">
              <w:rPr>
                <w:sz w:val="24"/>
                <w:szCs w:val="24"/>
                <w:vertAlign w:val="superscript"/>
              </w:rPr>
              <w:t>nd</w:t>
            </w:r>
            <w:r w:rsidR="00607B60">
              <w:rPr>
                <w:sz w:val="24"/>
                <w:szCs w:val="24"/>
              </w:rPr>
              <w:t xml:space="preserve"> Month in a Row</w:t>
            </w:r>
            <w:r w:rsidR="00015D53" w:rsidRPr="007B1281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30DDAA14" w:rsidR="00E302C4" w:rsidRPr="002F2B80" w:rsidRDefault="00474ECB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Average Sales Prices Up </w:t>
            </w:r>
            <w:r w:rsidR="00607B60">
              <w:rPr>
                <w:sz w:val="24"/>
                <w:szCs w:val="24"/>
              </w:rPr>
              <w:t>5.7</w:t>
            </w:r>
            <w:r>
              <w:rPr>
                <w:sz w:val="24"/>
                <w:szCs w:val="24"/>
              </w:rPr>
              <w:t>%</w:t>
            </w:r>
            <w:r w:rsidR="00607B60">
              <w:rPr>
                <w:sz w:val="24"/>
                <w:szCs w:val="24"/>
              </w:rPr>
              <w:t>, $22,589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134AB99D" w:rsidR="00B170CC" w:rsidRPr="00627017" w:rsidRDefault="00BD05F0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D05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BD05F0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44EB949F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9,496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1CB17A5F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7,072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5FB0437C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>-25.5%</w:t>
            </w:r>
          </w:p>
        </w:tc>
      </w:tr>
      <w:tr w:rsidR="00BD05F0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0819D600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4,226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62336B54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3,435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69A97198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>-18.7%</w:t>
            </w:r>
          </w:p>
        </w:tc>
      </w:tr>
      <w:tr w:rsidR="00BD05F0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2477CCA1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1,397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22F2125C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1,081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3BB70D0B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>-22.6%</w:t>
            </w:r>
          </w:p>
        </w:tc>
      </w:tr>
      <w:tr w:rsidR="00BD05F0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787C2C9E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1,016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4EC8B07E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 857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0427BECC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>-15.6%</w:t>
            </w:r>
          </w:p>
        </w:tc>
      </w:tr>
      <w:tr w:rsidR="00BD05F0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15BAF357" w:rsidR="00BD05F0" w:rsidRPr="00627017" w:rsidRDefault="00BD05F0" w:rsidP="00BD05F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16,135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40160967" w:rsidR="00BD05F0" w:rsidRPr="00627017" w:rsidRDefault="00BD05F0" w:rsidP="00BD05F0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152CCE">
              <w:t xml:space="preserve">12,445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03BD7194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2CCE">
              <w:t>-22.9%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D05F0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0BBE73C6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2,256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246C1805" w:rsidR="00BD05F0" w:rsidRPr="00627017" w:rsidRDefault="00BD05F0" w:rsidP="00BD05F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1,740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61E24E48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>-22.9%</w:t>
            </w:r>
          </w:p>
        </w:tc>
      </w:tr>
      <w:tr w:rsidR="00BD05F0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41E21186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1,686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18C714B4" w:rsidR="00BD05F0" w:rsidRPr="00627017" w:rsidRDefault="00BD05F0" w:rsidP="00BD05F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1,293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2871FAC2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>-23.3%</w:t>
            </w:r>
          </w:p>
        </w:tc>
      </w:tr>
      <w:tr w:rsidR="00BD05F0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37ADB540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1,281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1E0F2AC0" w:rsidR="00BD05F0" w:rsidRPr="00627017" w:rsidRDefault="00BD05F0" w:rsidP="00BD05F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1,054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46E7BAB3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>-17.7%</w:t>
            </w:r>
          </w:p>
        </w:tc>
      </w:tr>
      <w:tr w:rsidR="00BD05F0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05B29B78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21,358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65597A2D" w:rsidR="00BD05F0" w:rsidRPr="00627017" w:rsidRDefault="00BD05F0" w:rsidP="00BD05F0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 xml:space="preserve"> 16,532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34B10251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6DCF">
              <w:t>-22.6%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47A6A4C6" w:rsidR="00F264CF" w:rsidRPr="00627017" w:rsidRDefault="00FC4FB0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BD05F0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1E3CCF72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1004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777E0640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838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23688187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-16.5%</w:t>
            </w:r>
          </w:p>
        </w:tc>
      </w:tr>
      <w:tr w:rsidR="00BD05F0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0EE04608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528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7C8C7433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376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08D1CC5C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-28.8%</w:t>
            </w:r>
          </w:p>
        </w:tc>
      </w:tr>
      <w:tr w:rsidR="00BD05F0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64CDF545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66013888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2E8D37A4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-16.0%</w:t>
            </w:r>
          </w:p>
        </w:tc>
      </w:tr>
      <w:tr w:rsidR="00BD05F0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5AA14219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5C492BF4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151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65B7CF09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-8.5%</w:t>
            </w:r>
          </w:p>
        </w:tc>
      </w:tr>
      <w:tr w:rsidR="00BD05F0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11F7D7E9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1,816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0A5B74FD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1,465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352A2303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1A73">
              <w:t>-19.3%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D05F0" w:rsidRPr="00627017" w14:paraId="6862758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5146E4AA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262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6E3EC925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210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0F43BD93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-19.8%</w:t>
            </w:r>
          </w:p>
        </w:tc>
      </w:tr>
      <w:tr w:rsidR="00BD05F0" w:rsidRPr="00627017" w14:paraId="43BFC7D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21F22B76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186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00F0B7D9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147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2C91FF27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-21.0%</w:t>
            </w:r>
          </w:p>
        </w:tc>
      </w:tr>
      <w:tr w:rsidR="00BD05F0" w:rsidRPr="00627017" w14:paraId="74C7B9C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3CAB778E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171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08FE9D9F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142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0DD02183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-17.0%</w:t>
            </w:r>
          </w:p>
        </w:tc>
      </w:tr>
      <w:tr w:rsidR="00BD05F0" w:rsidRPr="00627017" w14:paraId="719D3710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6210A966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2,435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05E55B81" w:rsidR="00BD05F0" w:rsidRPr="00627017" w:rsidRDefault="00BD05F0" w:rsidP="00BD05F0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1,964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0FA947DE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0C00">
              <w:t>-19.3%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5726DE6F" w:rsidR="004B2A93" w:rsidRDefault="00F51A3F" w:rsidP="00F84C72">
      <w:r>
        <w:t>Metropolitan Milwaukee h</w:t>
      </w:r>
      <w:r w:rsidR="00123E7A">
        <w:t>ome sales</w:t>
      </w:r>
      <w:r w:rsidR="00EE505B">
        <w:t xml:space="preserve"> were down</w:t>
      </w:r>
      <w:r w:rsidR="00607B60">
        <w:t xml:space="preserve"> through the 3</w:t>
      </w:r>
      <w:r w:rsidR="00607B60" w:rsidRPr="00607B60">
        <w:rPr>
          <w:vertAlign w:val="superscript"/>
        </w:rPr>
        <w:t>rd</w:t>
      </w:r>
      <w:r w:rsidR="00607B60">
        <w:t xml:space="preserve"> quarter and for the month of September, by</w:t>
      </w:r>
      <w:r w:rsidR="00EE505B">
        <w:t xml:space="preserve"> </w:t>
      </w:r>
      <w:r w:rsidR="00607B60">
        <w:t>22.9</w:t>
      </w:r>
      <w:r w:rsidR="00EE505B">
        <w:t xml:space="preserve">% </w:t>
      </w:r>
      <w:r w:rsidR="00607B60">
        <w:t>and 19.3%, respectively.</w:t>
      </w:r>
      <w:r w:rsidR="000359A8">
        <w:t xml:space="preserve"> </w:t>
      </w:r>
    </w:p>
    <w:p w14:paraId="51DB5E5F" w14:textId="77777777" w:rsidR="00591C7A" w:rsidRDefault="00591C7A" w:rsidP="00F84C72"/>
    <w:p w14:paraId="1A0894A4" w14:textId="4EC12EE5" w:rsidR="00607B60" w:rsidRDefault="00607B60" w:rsidP="00F84C72">
      <w:r>
        <w:t xml:space="preserve">While listings were up for the second straight month, by </w:t>
      </w:r>
      <w:r w:rsidR="00306E84">
        <w:t xml:space="preserve">2.5% </w:t>
      </w:r>
      <w:r>
        <w:t xml:space="preserve">in September, they </w:t>
      </w:r>
      <w:r w:rsidR="00306E84">
        <w:t>we</w:t>
      </w:r>
      <w:r>
        <w:t>re 17.4% behind the 3</w:t>
      </w:r>
      <w:r w:rsidRPr="00607B60">
        <w:rPr>
          <w:vertAlign w:val="superscript"/>
        </w:rPr>
        <w:t>rd</w:t>
      </w:r>
      <w:r>
        <w:t xml:space="preserve"> quarter of 2022. </w:t>
      </w:r>
    </w:p>
    <w:p w14:paraId="3138345D" w14:textId="77777777" w:rsidR="00607B60" w:rsidRDefault="00607B60" w:rsidP="00F84C72"/>
    <w:p w14:paraId="54ACFC4E" w14:textId="32953A31" w:rsidR="00591C7A" w:rsidRDefault="00591C7A" w:rsidP="00F84C72">
      <w:r>
        <w:t xml:space="preserve">Home sales </w:t>
      </w:r>
      <w:r w:rsidR="002F03D7">
        <w:t>we</w:t>
      </w:r>
      <w:r>
        <w:t xml:space="preserve">re down </w:t>
      </w:r>
      <w:r w:rsidRPr="00C434EA">
        <w:rPr>
          <w:u w:val="single"/>
        </w:rPr>
        <w:t>because of a lack of inventory</w:t>
      </w:r>
      <w:r w:rsidR="00785F83">
        <w:t xml:space="preserve"> </w:t>
      </w:r>
      <w:r w:rsidR="00F75F7E">
        <w:t xml:space="preserve">not a lack of buyer interest. The deficiency in inventory </w:t>
      </w:r>
      <w:r w:rsidR="002F03D7">
        <w:t xml:space="preserve">is due to two market forces: </w:t>
      </w:r>
      <w:r w:rsidR="002F03D7" w:rsidRPr="00C434EA">
        <w:rPr>
          <w:u w:val="single"/>
        </w:rPr>
        <w:t xml:space="preserve">new construction and </w:t>
      </w:r>
      <w:r w:rsidR="00C434EA">
        <w:rPr>
          <w:u w:val="single"/>
        </w:rPr>
        <w:t xml:space="preserve">new </w:t>
      </w:r>
      <w:r w:rsidR="002F03D7" w:rsidRPr="00C434EA">
        <w:rPr>
          <w:u w:val="single"/>
        </w:rPr>
        <w:t>listings</w:t>
      </w:r>
      <w:r w:rsidR="002F03D7">
        <w:t xml:space="preserve">. </w:t>
      </w:r>
    </w:p>
    <w:p w14:paraId="6D7EF014" w14:textId="77777777" w:rsidR="004B2A93" w:rsidRDefault="004B2A93" w:rsidP="00F84C72"/>
    <w:p w14:paraId="4FE50EF4" w14:textId="72B45D5F" w:rsidR="00785F83" w:rsidRDefault="003244DA" w:rsidP="00F84C72">
      <w:r>
        <w:t>In August</w:t>
      </w:r>
      <w:r w:rsidR="007A5A12" w:rsidRPr="007A5A12">
        <w:t xml:space="preserve"> </w:t>
      </w:r>
      <w:r>
        <w:t xml:space="preserve">1,034 </w:t>
      </w:r>
      <w:r w:rsidRPr="00C434EA">
        <w:rPr>
          <w:u w:val="single"/>
        </w:rPr>
        <w:t>building permits</w:t>
      </w:r>
      <w:r>
        <w:t xml:space="preserve"> were taken out in the 4-county area, 9.9% below the same period in 2022. In the January – August time period new construction was </w:t>
      </w:r>
      <w:r w:rsidRPr="00C434EA">
        <w:rPr>
          <w:u w:val="single"/>
        </w:rPr>
        <w:t>down 24.6%</w:t>
      </w:r>
      <w:r>
        <w:t xml:space="preserve"> (1,371 vs. 1,034)</w:t>
      </w:r>
      <w:r w:rsidR="00BD05F0">
        <w:t>, c</w:t>
      </w:r>
      <w:r>
        <w:t xml:space="preserve">ontinuing a </w:t>
      </w:r>
      <w:r w:rsidR="008D5219">
        <w:t>period of low production.</w:t>
      </w:r>
      <w:r w:rsidR="007A5A12">
        <w:t xml:space="preserve"> </w:t>
      </w:r>
    </w:p>
    <w:p w14:paraId="699E76B4" w14:textId="77777777" w:rsidR="00C434EA" w:rsidRDefault="00C434EA" w:rsidP="00F84C72"/>
    <w:p w14:paraId="571D0DF5" w14:textId="621E77E8" w:rsidR="00C434EA" w:rsidRPr="007A5A12" w:rsidRDefault="00C434EA" w:rsidP="00F84C72">
      <w:r w:rsidRPr="00C434EA"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>since the Great Recession</w:t>
      </w:r>
      <w:r w:rsidRPr="00C434EA">
        <w:t>.</w:t>
      </w:r>
    </w:p>
    <w:p w14:paraId="18701235" w14:textId="77777777" w:rsidR="00785F83" w:rsidRDefault="00785F83" w:rsidP="00F84C72"/>
    <w:p w14:paraId="0C021660" w14:textId="77777777" w:rsidR="002920FB" w:rsidRDefault="00F75F7E" w:rsidP="00F84C72">
      <w:r w:rsidRPr="00C434EA">
        <w:rPr>
          <w:u w:val="single"/>
        </w:rPr>
        <w:t>New listings</w:t>
      </w:r>
      <w:r>
        <w:t xml:space="preserve"> were actually </w:t>
      </w:r>
      <w:r w:rsidRPr="00C434EA">
        <w:rPr>
          <w:u w:val="single"/>
        </w:rPr>
        <w:t xml:space="preserve">up </w:t>
      </w:r>
      <w:r w:rsidR="00C434EA" w:rsidRPr="00C434EA">
        <w:rPr>
          <w:u w:val="single"/>
        </w:rPr>
        <w:t>2.5</w:t>
      </w:r>
      <w:r w:rsidRPr="00C434EA">
        <w:rPr>
          <w:u w:val="single"/>
        </w:rPr>
        <w:t>%</w:t>
      </w:r>
      <w:r>
        <w:t xml:space="preserve"> </w:t>
      </w:r>
      <w:r w:rsidR="00306E84">
        <w:t xml:space="preserve">in September </w:t>
      </w:r>
      <w:r>
        <w:t xml:space="preserve">for the </w:t>
      </w:r>
      <w:r w:rsidR="00C434EA">
        <w:t xml:space="preserve">second straight </w:t>
      </w:r>
      <w:r>
        <w:t>month</w:t>
      </w:r>
      <w:r w:rsidR="00C434EA">
        <w:t xml:space="preserve"> (after a 17 month drought)</w:t>
      </w:r>
      <w:r>
        <w:t xml:space="preserve">. However, </w:t>
      </w:r>
      <w:r w:rsidRPr="00C434EA">
        <w:rPr>
          <w:u w:val="single"/>
        </w:rPr>
        <w:t>n</w:t>
      </w:r>
      <w:r w:rsidR="007A5A12" w:rsidRPr="00C434EA">
        <w:rPr>
          <w:u w:val="single"/>
        </w:rPr>
        <w:t xml:space="preserve">ew listings </w:t>
      </w:r>
      <w:r w:rsidR="00C434EA" w:rsidRPr="00C434EA">
        <w:rPr>
          <w:u w:val="single"/>
        </w:rPr>
        <w:t>through the 3</w:t>
      </w:r>
      <w:r w:rsidR="00C434EA" w:rsidRPr="00C434EA">
        <w:rPr>
          <w:u w:val="single"/>
          <w:vertAlign w:val="superscript"/>
        </w:rPr>
        <w:t>rd</w:t>
      </w:r>
      <w:r w:rsidR="00C434EA" w:rsidRPr="00C434EA">
        <w:rPr>
          <w:u w:val="single"/>
        </w:rPr>
        <w:t xml:space="preserve"> quarter</w:t>
      </w:r>
      <w:r w:rsidR="00C434EA">
        <w:t xml:space="preserve"> we</w:t>
      </w:r>
      <w:r w:rsidR="007A5A12">
        <w:t xml:space="preserve">re </w:t>
      </w:r>
      <w:r w:rsidR="007A5A12" w:rsidRPr="00C434EA">
        <w:rPr>
          <w:u w:val="single"/>
        </w:rPr>
        <w:t>down 1</w:t>
      </w:r>
      <w:r w:rsidR="00C434EA" w:rsidRPr="00C434EA">
        <w:rPr>
          <w:u w:val="single"/>
        </w:rPr>
        <w:t>7</w:t>
      </w:r>
      <w:r w:rsidR="007A5A12" w:rsidRPr="00C434EA">
        <w:rPr>
          <w:u w:val="single"/>
        </w:rPr>
        <w:t>.6%</w:t>
      </w:r>
      <w:r w:rsidR="00306E84">
        <w:t>.</w:t>
      </w:r>
      <w:r w:rsidR="007A5A12">
        <w:t xml:space="preserve"> </w:t>
      </w:r>
    </w:p>
    <w:p w14:paraId="54C70D28" w14:textId="03239A71" w:rsidR="00306E84" w:rsidRDefault="002920FB" w:rsidP="00F84C72">
      <w:r>
        <w:lastRenderedPageBreak/>
        <w:t xml:space="preserve">The supply of inventory on hand was </w:t>
      </w:r>
      <w:r w:rsidRPr="00F84C72">
        <w:t xml:space="preserve">only enough to satisfy </w:t>
      </w:r>
      <w:r>
        <w:t>3.1</w:t>
      </w:r>
      <w:r w:rsidRPr="00F84C72">
        <w:t xml:space="preserve"> months of </w:t>
      </w:r>
      <w:r>
        <w:t xml:space="preserve">buyer </w:t>
      </w:r>
      <w:r w:rsidRPr="00F84C72">
        <w:t xml:space="preserve">demand, and if we subtract units with an offer that level drops to </w:t>
      </w:r>
      <w:r>
        <w:t>1.</w:t>
      </w:r>
      <w:r>
        <w:t>4</w:t>
      </w:r>
      <w:r w:rsidRPr="00F84C72">
        <w:t xml:space="preserve"> month</w:t>
      </w:r>
      <w:r>
        <w:t>.</w:t>
      </w:r>
      <w:r>
        <w:t xml:space="preserve"> That is slightly ahead of August’s 2.9 months of inventory, but well below the 6 months commonly assumed to be a balanced market. </w:t>
      </w:r>
    </w:p>
    <w:p w14:paraId="34025AF5" w14:textId="77777777" w:rsidR="002920FB" w:rsidRDefault="002920FB" w:rsidP="00F84C72"/>
    <w:p w14:paraId="55F5EBB1" w14:textId="71AD75E8" w:rsidR="00440264" w:rsidRDefault="00306E84" w:rsidP="00F84C72">
      <w:r>
        <w:t xml:space="preserve">Brokers are saying that </w:t>
      </w:r>
      <w:r w:rsidR="00C434EA">
        <w:t xml:space="preserve">many </w:t>
      </w:r>
      <w:r>
        <w:t xml:space="preserve">current </w:t>
      </w:r>
      <w:r w:rsidR="00C434EA">
        <w:t xml:space="preserve">homeowners </w:t>
      </w:r>
      <w:r>
        <w:t xml:space="preserve">who </w:t>
      </w:r>
      <w:r w:rsidR="00C434EA">
        <w:t>have low mortgage interest rates</w:t>
      </w:r>
      <w:r>
        <w:t xml:space="preserve"> are skittish about listing their home if they would have to </w:t>
      </w:r>
      <w:r>
        <w:t>take out another mortgage</w:t>
      </w:r>
      <w:r>
        <w:t>, at a higher interest rate, for a new property.</w:t>
      </w:r>
      <w:r w:rsidR="007B4513">
        <w:t xml:space="preserve"> </w:t>
      </w:r>
    </w:p>
    <w:p w14:paraId="33FD3CBE" w14:textId="77777777" w:rsidR="007A5A12" w:rsidRDefault="007A5A12" w:rsidP="00F84C72"/>
    <w:tbl>
      <w:tblPr>
        <w:tblpPr w:leftFromText="187" w:rightFromText="288" w:bottomFromText="115" w:vertAnchor="text" w:horzAnchor="margin" w:tblpXSpec="right" w:tblpY="44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849"/>
        <w:gridCol w:w="73"/>
        <w:gridCol w:w="993"/>
      </w:tblGrid>
      <w:tr w:rsidR="003244DA" w:rsidRPr="00627017" w14:paraId="6BDDB4A7" w14:textId="77777777" w:rsidTr="003244D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5033" w14:textId="1C9C5E99" w:rsidR="003244DA" w:rsidRPr="00627017" w:rsidRDefault="00BD05F0" w:rsidP="003244DA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D05F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44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>
              <w:rPr>
                <w:rFonts w:ascii="Arial" w:hAnsi="Arial" w:cs="Arial"/>
                <w:b/>
                <w:sz w:val="24"/>
                <w:szCs w:val="24"/>
              </w:rPr>
              <w:t>Listings</w:t>
            </w:r>
          </w:p>
        </w:tc>
      </w:tr>
      <w:tr w:rsidR="003244DA" w:rsidRPr="00627017" w14:paraId="24975629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3685BE3" w14:textId="77777777" w:rsidR="003244DA" w:rsidRPr="00627017" w:rsidRDefault="003244DA" w:rsidP="003244DA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D8A0" w14:textId="77777777" w:rsidR="003244DA" w:rsidRPr="00627017" w:rsidRDefault="003244DA" w:rsidP="003244DA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3EB4" w14:textId="77777777" w:rsidR="003244DA" w:rsidRPr="00627017" w:rsidRDefault="003244DA" w:rsidP="003244DA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4F2A4B4B" w14:textId="77777777" w:rsidR="003244DA" w:rsidRPr="00627017" w:rsidRDefault="003244DA" w:rsidP="003244DA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BD05F0" w:rsidRPr="00627017" w14:paraId="42091247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3B89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CC09" w14:textId="236C2F93" w:rsidR="00BD05F0" w:rsidRPr="00627017" w:rsidRDefault="00BD05F0" w:rsidP="00BD05F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11,564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6A3C" w14:textId="1135B553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9,461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54807" w14:textId="5479F915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>-18.2%</w:t>
            </w:r>
          </w:p>
        </w:tc>
      </w:tr>
      <w:tr w:rsidR="00BD05F0" w:rsidRPr="00627017" w14:paraId="71F63EC1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108C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B422" w14:textId="665582DA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5,175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5E22" w14:textId="7989D86F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4,275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47119C4" w14:textId="3841021A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>-17.4%</w:t>
            </w:r>
          </w:p>
        </w:tc>
      </w:tr>
      <w:tr w:rsidR="00BD05F0" w:rsidRPr="00627017" w14:paraId="6B4798AD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680E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90F7" w14:textId="30FA68F4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1,700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3031" w14:textId="11991363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1,379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A730" w14:textId="38898007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>-18.9%</w:t>
            </w:r>
          </w:p>
        </w:tc>
      </w:tr>
      <w:tr w:rsidR="00BD05F0" w:rsidRPr="00627017" w14:paraId="1160ECF9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268D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B2E2" w14:textId="0E0155D4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1,184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62C3" w14:textId="64464BDA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 1,059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8B0CACD" w14:textId="77D8DFFB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>-10.6%</w:t>
            </w:r>
          </w:p>
        </w:tc>
      </w:tr>
      <w:tr w:rsidR="00BD05F0" w:rsidRPr="00627017" w14:paraId="4EC3463C" w14:textId="77777777" w:rsidTr="003244DA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BF68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E667" w14:textId="5FCF4E1B" w:rsidR="00BD05F0" w:rsidRPr="00627017" w:rsidRDefault="00BD05F0" w:rsidP="00BD05F0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19,623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CD4B" w14:textId="0869D9A5" w:rsidR="00BD05F0" w:rsidRPr="00627017" w:rsidRDefault="00BD05F0" w:rsidP="00BD05F0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54A3F">
              <w:t xml:space="preserve">16,174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581D8" w14:textId="542ED347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4A3F">
              <w:t>-17.6%</w:t>
            </w:r>
          </w:p>
        </w:tc>
      </w:tr>
      <w:tr w:rsidR="003244DA" w:rsidRPr="00627017" w14:paraId="6E48B580" w14:textId="77777777" w:rsidTr="003244DA">
        <w:trPr>
          <w:trHeight w:val="8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4EC" w14:textId="77777777" w:rsidR="003244DA" w:rsidRPr="00627017" w:rsidRDefault="003244DA" w:rsidP="003244D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D05F0" w:rsidRPr="00627017" w14:paraId="3A931EC4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F28C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D93A" w14:textId="3C4FFEA8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2,853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3CFE" w14:textId="63E93916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2,193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2BB95" w14:textId="053FFAD4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>-23.1%</w:t>
            </w:r>
          </w:p>
        </w:tc>
      </w:tr>
      <w:tr w:rsidR="00BD05F0" w:rsidRPr="00627017" w14:paraId="12FA2C5B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24AA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50F8" w14:textId="028657D5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2,056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93E1150" w14:textId="76E43E6C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1,636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D2AEE06" w14:textId="2D3BB058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>-20.4%</w:t>
            </w:r>
          </w:p>
        </w:tc>
      </w:tr>
      <w:tr w:rsidR="00BD05F0" w:rsidRPr="00627017" w14:paraId="2F89ECB4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602C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4BE7" w14:textId="65E8FB28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1,654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EC78A" w14:textId="35F8098B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1,461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9E52E" w14:textId="0792F570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>-11.7%</w:t>
            </w:r>
          </w:p>
        </w:tc>
      </w:tr>
      <w:tr w:rsidR="00BD05F0" w:rsidRPr="00627017" w14:paraId="0BA25819" w14:textId="77777777" w:rsidTr="003244DA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8ACF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03BD" w14:textId="4E8C203D" w:rsidR="00BD05F0" w:rsidRPr="00627017" w:rsidRDefault="00BD05F0" w:rsidP="00BD05F0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26,186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E829A7" w14:textId="10B9AE57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 xml:space="preserve"> 21,464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392A3CA" w14:textId="3E61F1F5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87D">
              <w:t>-18.0%</w:t>
            </w:r>
          </w:p>
        </w:tc>
      </w:tr>
      <w:tr w:rsidR="003244DA" w:rsidRPr="00627017" w14:paraId="0859ABE6" w14:textId="77777777" w:rsidTr="003244DA">
        <w:trPr>
          <w:trHeight w:val="288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7725" w14:textId="77777777" w:rsidR="003244DA" w:rsidRPr="00627017" w:rsidRDefault="003244DA" w:rsidP="003244DA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44DA" w:rsidRPr="00627017" w14:paraId="51E86A33" w14:textId="77777777" w:rsidTr="003244D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47EE" w14:textId="2263D7AD" w:rsidR="003244DA" w:rsidRPr="00627017" w:rsidRDefault="003244DA" w:rsidP="003244DA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September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Listings</w:t>
            </w:r>
          </w:p>
        </w:tc>
      </w:tr>
      <w:tr w:rsidR="003244DA" w:rsidRPr="00627017" w14:paraId="53AC4D4F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005D" w14:textId="77777777" w:rsidR="003244DA" w:rsidRPr="00627017" w:rsidRDefault="003244DA" w:rsidP="003244D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E7D1" w14:textId="77777777" w:rsidR="003244DA" w:rsidRPr="00627017" w:rsidRDefault="003244DA" w:rsidP="003244D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2B33CAD" w14:textId="77777777" w:rsidR="003244DA" w:rsidRPr="00627017" w:rsidRDefault="003244DA" w:rsidP="003244D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12BAD84" w14:textId="77777777" w:rsidR="003244DA" w:rsidRPr="00627017" w:rsidRDefault="003244DA" w:rsidP="003244D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BD05F0" w:rsidRPr="00627017" w14:paraId="54BAF299" w14:textId="77777777" w:rsidTr="003244DA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BDEC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C1A0" w14:textId="14E3C524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1130</w:t>
            </w:r>
          </w:p>
        </w:tc>
        <w:tc>
          <w:tcPr>
            <w:tcW w:w="922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FD90E7D" w14:textId="2B37F680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1194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50D9285" w14:textId="7DDA530A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5.7%</w:t>
            </w:r>
          </w:p>
        </w:tc>
      </w:tr>
      <w:tr w:rsidR="00BD05F0" w:rsidRPr="00627017" w14:paraId="74CD0E86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C235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30EF" w14:textId="0027622F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507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D0E3E2F" w14:textId="31FE316C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6744021" w14:textId="391B4A7E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-5.5%</w:t>
            </w:r>
          </w:p>
        </w:tc>
      </w:tr>
      <w:tr w:rsidR="00BD05F0" w:rsidRPr="00627017" w14:paraId="15380B5A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1107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E8A" w14:textId="5BC1B59F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102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1DDB" w14:textId="04EAB872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3FB7" w14:textId="4D7FEBC3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2.9%</w:t>
            </w:r>
          </w:p>
        </w:tc>
      </w:tr>
      <w:tr w:rsidR="00BD05F0" w:rsidRPr="00627017" w14:paraId="08A5E359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3432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13FF" w14:textId="551B8820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158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5FE6C918" w14:textId="2FB78120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3BD850C" w14:textId="3C04072F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5.7%</w:t>
            </w:r>
          </w:p>
        </w:tc>
      </w:tr>
      <w:tr w:rsidR="00BD05F0" w:rsidRPr="00627017" w14:paraId="465CE0E2" w14:textId="77777777" w:rsidTr="003244DA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7378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ADE3" w14:textId="355A03E8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1,897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94E1DC" w14:textId="2095D05F" w:rsidR="00BD05F0" w:rsidRPr="00627017" w:rsidRDefault="00BD05F0" w:rsidP="00BD05F0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1,945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9B3A0" w14:textId="5449B736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F36">
              <w:t>2.5%</w:t>
            </w:r>
          </w:p>
        </w:tc>
      </w:tr>
      <w:tr w:rsidR="003244DA" w:rsidRPr="00627017" w14:paraId="5B68812B" w14:textId="77777777" w:rsidTr="003244DA">
        <w:trPr>
          <w:trHeight w:val="86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1D2F" w14:textId="77777777" w:rsidR="003244DA" w:rsidRPr="00627017" w:rsidRDefault="003244DA" w:rsidP="003244D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D05F0" w:rsidRPr="00627017" w14:paraId="7B799976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3A71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E97F" w14:textId="5E7101F1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295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B549" w14:textId="17E8E542" w:rsidR="00BD05F0" w:rsidRPr="00627017" w:rsidRDefault="00BD05F0" w:rsidP="00BD05F0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766A6" w14:textId="5DA167B5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-7.1%</w:t>
            </w:r>
          </w:p>
        </w:tc>
      </w:tr>
      <w:tr w:rsidR="00BD05F0" w:rsidRPr="00627017" w14:paraId="601D610B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35B0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511D" w14:textId="7265F335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FB5BDE0" w14:textId="7165AD13" w:rsidR="00BD05F0" w:rsidRPr="00627017" w:rsidRDefault="00BD05F0" w:rsidP="00BD05F0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A41F9EA" w14:textId="75DBB009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3.5%</w:t>
            </w:r>
          </w:p>
        </w:tc>
      </w:tr>
      <w:tr w:rsidR="00BD05F0" w:rsidRPr="00627017" w14:paraId="2FD33B67" w14:textId="77777777" w:rsidTr="003244DA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D76F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A181" w14:textId="172444E2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177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1A616" w14:textId="1227319B" w:rsidR="00BD05F0" w:rsidRPr="00627017" w:rsidRDefault="00BD05F0" w:rsidP="00BD05F0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D53C4" w14:textId="0B1665AB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-24.9%</w:t>
            </w:r>
          </w:p>
        </w:tc>
      </w:tr>
      <w:tr w:rsidR="00BD05F0" w:rsidRPr="00627017" w14:paraId="25B825F1" w14:textId="77777777" w:rsidTr="003244DA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B6E8" w14:textId="77777777" w:rsidR="00BD05F0" w:rsidRPr="00627017" w:rsidRDefault="00BD05F0" w:rsidP="00BD05F0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CFFA" w14:textId="432BB4DD" w:rsidR="00BD05F0" w:rsidRPr="00627017" w:rsidRDefault="00BD05F0" w:rsidP="00BD05F0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2,569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8A280A9" w14:textId="19535A1D" w:rsidR="00BD05F0" w:rsidRPr="00627017" w:rsidRDefault="00BD05F0" w:rsidP="00BD05F0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2,559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D2EC13E" w14:textId="09A54DDF" w:rsidR="00BD05F0" w:rsidRPr="00627017" w:rsidRDefault="00BD05F0" w:rsidP="00BD05F0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A3">
              <w:t>-0.4%</w:t>
            </w:r>
          </w:p>
        </w:tc>
      </w:tr>
    </w:tbl>
    <w:p w14:paraId="5C5423A4" w14:textId="1A5EA758" w:rsidR="003244DA" w:rsidRDefault="00306E84" w:rsidP="003244DA">
      <w:pPr>
        <w:ind w:right="-180"/>
      </w:pPr>
      <w:r>
        <w:t xml:space="preserve">As a result </w:t>
      </w:r>
      <w:r w:rsidR="003244DA">
        <w:t>– as we have been highlighting for several years –</w:t>
      </w:r>
      <w:r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>
        <w:t xml:space="preserve">have had </w:t>
      </w:r>
      <w:proofErr w:type="gramStart"/>
      <w:r>
        <w:t>a very difficult</w:t>
      </w:r>
      <w:proofErr w:type="gramEnd"/>
      <w:r>
        <w:t xml:space="preserve"> time </w:t>
      </w:r>
      <w:r w:rsidR="00C434EA">
        <w:t>help</w:t>
      </w:r>
      <w:r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22E84324" w14:textId="77777777" w:rsidR="003244DA" w:rsidRDefault="003244DA" w:rsidP="003244DA"/>
    <w:p w14:paraId="3192FCD3" w14:textId="59C5CEE9" w:rsidR="003244DA" w:rsidRPr="00D00518" w:rsidRDefault="003244DA" w:rsidP="003244DA">
      <w:pPr>
        <w:pStyle w:val="SectionCallout"/>
      </w:pPr>
      <w:bookmarkStart w:id="1" w:name="_Hlk90464889"/>
      <w:r>
        <w:t>“</w:t>
      </w:r>
      <w:r w:rsidRPr="00907467">
        <w:t>The historically low level of new construction and lack of new listings resulted in prices</w:t>
      </w:r>
      <w:r>
        <w:t xml:space="preserve"> </w:t>
      </w:r>
      <w:r w:rsidRPr="00907467">
        <w:t>in</w:t>
      </w:r>
      <w:r>
        <w:t>creasing</w:t>
      </w:r>
      <w:r w:rsidRPr="00907467">
        <w:t xml:space="preserve"> </w:t>
      </w:r>
      <w:r w:rsidR="002920FB">
        <w:t>5</w:t>
      </w:r>
      <w:r w:rsidRPr="00907467">
        <w:t>.</w:t>
      </w:r>
      <w:r w:rsidR="002920FB">
        <w:t>7</w:t>
      </w:r>
      <w:r w:rsidRPr="00907467">
        <w:t>%, or $</w:t>
      </w:r>
      <w:r w:rsidR="002920FB">
        <w:t>22</w:t>
      </w:r>
      <w:r w:rsidRPr="00907467">
        <w:t>,</w:t>
      </w:r>
      <w:r w:rsidR="002920FB">
        <w:t>589</w:t>
      </w:r>
      <w:r w:rsidRPr="008329C3">
        <w:t>.</w:t>
      </w:r>
      <w:r>
        <w:t>”</w:t>
      </w:r>
    </w:p>
    <w:bookmarkEnd w:id="1"/>
    <w:p w14:paraId="08857336" w14:textId="77777777" w:rsidR="003244DA" w:rsidRDefault="003244DA" w:rsidP="003244DA"/>
    <w:p w14:paraId="02A18236" w14:textId="250EDA6E" w:rsidR="003244DA" w:rsidRDefault="003244DA" w:rsidP="003244DA">
      <w:bookmarkStart w:id="2" w:name="_Hlk132204361"/>
      <w:bookmarkStart w:id="3" w:name="_Hlk124341834"/>
      <w:r w:rsidRPr="005721C1">
        <w:t xml:space="preserve">The </w:t>
      </w:r>
      <w:r>
        <w:t xml:space="preserve">historically low level of new construction and lack of new listings in the 4 county area resulted in prices increasing an average of </w:t>
      </w:r>
      <w:r w:rsidR="002920FB">
        <w:t>5</w:t>
      </w:r>
      <w:r>
        <w:t>.</w:t>
      </w:r>
      <w:r w:rsidR="002920FB">
        <w:t>7</w:t>
      </w:r>
      <w:r>
        <w:t>%, or $</w:t>
      </w:r>
      <w:r w:rsidR="002920FB">
        <w:t>22</w:t>
      </w:r>
      <w:r>
        <w:t>,</w:t>
      </w:r>
      <w:r w:rsidR="002920FB">
        <w:t>589</w:t>
      </w:r>
      <w:bookmarkEnd w:id="2"/>
      <w:r>
        <w:t xml:space="preserve">. </w:t>
      </w:r>
      <w:bookmarkEnd w:id="3"/>
    </w:p>
    <w:p w14:paraId="090D0FD0" w14:textId="77777777" w:rsidR="003244DA" w:rsidRPr="007E4385" w:rsidRDefault="003244DA" w:rsidP="003244DA"/>
    <w:p w14:paraId="4E012A29" w14:textId="77777777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0D8213" w14:textId="77777777" w:rsidR="003244DA" w:rsidRDefault="003244DA" w:rsidP="003244DA"/>
    <w:tbl>
      <w:tblPr>
        <w:tblpPr w:leftFromText="187" w:rightFromText="360" w:topFromText="202" w:bottomFromText="288" w:vertAnchor="text" w:horzAnchor="margin" w:tblpY="-17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898"/>
        <w:gridCol w:w="94"/>
      </w:tblGrid>
      <w:tr w:rsidR="003244DA" w:rsidRPr="00DE1D23" w14:paraId="14818875" w14:textId="77777777" w:rsidTr="00512309">
        <w:trPr>
          <w:gridAfter w:val="1"/>
          <w:wAfter w:w="94" w:type="dxa"/>
          <w:trHeight w:val="360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43FE59" w14:textId="67CEF859" w:rsidR="003244DA" w:rsidRPr="00DE1D23" w:rsidRDefault="003244DA" w:rsidP="00512309">
            <w:pPr>
              <w:spacing w:line="252" w:lineRule="auto"/>
              <w:ind w:right="85"/>
              <w:contextualSpacing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 w:rsidR="00BD05F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="00BD05F0" w:rsidRPr="00BD05F0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="00BD05F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DE1D2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DE1D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(Jan 1 – </w:t>
            </w:r>
            <w:r w:rsidR="00BD05F0">
              <w:rPr>
                <w:rFonts w:ascii="Arial" w:eastAsia="Calibri" w:hAnsi="Arial" w:cs="Arial"/>
                <w:bCs/>
                <w:sz w:val="20"/>
                <w:szCs w:val="20"/>
              </w:rPr>
              <w:t>Sept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30</w:t>
            </w:r>
            <w:r w:rsidRPr="00DE1D23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</w:tr>
      <w:tr w:rsidR="003244DA" w:rsidRPr="00DE1D23" w14:paraId="2121581A" w14:textId="77777777" w:rsidTr="00512309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485CA81A" w14:textId="77777777" w:rsidR="003244DA" w:rsidRPr="00DE1D23" w:rsidRDefault="003244DA" w:rsidP="00512309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BEBF" w14:textId="77777777" w:rsidR="003244DA" w:rsidRPr="00DE1D23" w:rsidRDefault="003244DA" w:rsidP="00512309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5BEE" w14:textId="77777777" w:rsidR="003244DA" w:rsidRPr="00DE1D23" w:rsidRDefault="003244DA" w:rsidP="00512309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415EC2A8" w14:textId="77777777" w:rsidR="003244DA" w:rsidRPr="00DE1D23" w:rsidRDefault="003244DA" w:rsidP="00512309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B5E70FC" w14:textId="77777777" w:rsidR="003244DA" w:rsidRPr="00DE1D23" w:rsidRDefault="003244DA" w:rsidP="00512309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BD05F0" w:rsidRPr="00DE1D23" w14:paraId="60C6E2E3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AE4C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4CB6" w14:textId="3611DE23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30CEE">
              <w:t xml:space="preserve"> $259,334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B750" w14:textId="75BDC4B9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6622">
              <w:t xml:space="preserve"> $274,139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83FB1" w14:textId="5DFA063B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 xml:space="preserve"> $14,805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05C04" w14:textId="04CA48CB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>5.7%</w:t>
            </w:r>
          </w:p>
        </w:tc>
      </w:tr>
      <w:tr w:rsidR="00BD05F0" w:rsidRPr="00DE1D23" w14:paraId="0E86CE23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0BB6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1883" w14:textId="63F364A2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30CEE">
              <w:t xml:space="preserve"> $481,903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CC" w14:textId="4933BEDF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6622">
              <w:t xml:space="preserve"> $502,690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B9029A3" w14:textId="33C9D691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 xml:space="preserve"> $20,787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49A4CF2" w14:textId="6F41E212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>4.3%</w:t>
            </w:r>
          </w:p>
        </w:tc>
      </w:tr>
      <w:tr w:rsidR="00BD05F0" w:rsidRPr="00DE1D23" w14:paraId="21392642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CF9B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64AC" w14:textId="418259C6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30CEE">
              <w:t xml:space="preserve"> $476,872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DB87" w14:textId="49DA6945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6622">
              <w:t xml:space="preserve"> $502,953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370A1" w14:textId="5F22BAAF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 xml:space="preserve"> $26,081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4BF3B" w14:textId="64CFD5F9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>5.47%</w:t>
            </w:r>
          </w:p>
        </w:tc>
      </w:tr>
      <w:tr w:rsidR="00BD05F0" w:rsidRPr="00DE1D23" w14:paraId="355DB4F3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7424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4B76" w14:textId="5C561E81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30CEE">
              <w:t xml:space="preserve"> $366,091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EB86" w14:textId="770553B8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6622">
              <w:t xml:space="preserve"> $394,775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CEC3EAF" w14:textId="7577A0AD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 xml:space="preserve"> $28,684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E2D9297" w14:textId="2C2854FD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>7.8%</w:t>
            </w:r>
          </w:p>
        </w:tc>
      </w:tr>
      <w:tr w:rsidR="00BD05F0" w:rsidRPr="00DE1D23" w14:paraId="0ED94402" w14:textId="77777777" w:rsidTr="00512309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9F1F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6817" w14:textId="32DA6A47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30CEE">
              <w:t xml:space="preserve"> $396,050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0F8C" w14:textId="4910FE5A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6622">
              <w:t xml:space="preserve"> $418,639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B5BDB" w14:textId="23430209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 xml:space="preserve"> $22,589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FACE8" w14:textId="2EF692F6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A4BD3">
              <w:t>5.7%</w:t>
            </w:r>
          </w:p>
        </w:tc>
      </w:tr>
      <w:tr w:rsidR="003244DA" w:rsidRPr="00DE1D23" w14:paraId="2A7AEAD6" w14:textId="77777777" w:rsidTr="00512309">
        <w:trPr>
          <w:trHeight w:val="90"/>
        </w:trPr>
        <w:tc>
          <w:tcPr>
            <w:tcW w:w="6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C0CA" w14:textId="77777777" w:rsidR="003244DA" w:rsidRPr="00DE1D23" w:rsidRDefault="003244DA" w:rsidP="00512309">
            <w:pPr>
              <w:spacing w:line="252" w:lineRule="auto"/>
              <w:ind w:right="-15"/>
              <w:contextualSpacing w:val="0"/>
              <w:jc w:val="right"/>
              <w:rPr>
                <w:rFonts w:ascii="Arial" w:eastAsia="Calibri" w:hAnsi="Arial" w:cs="Arial"/>
                <w:sz w:val="10"/>
                <w:szCs w:val="10"/>
              </w:rPr>
            </w:pPr>
            <w:r w:rsidRPr="00DE1D23">
              <w:rPr>
                <w:rFonts w:ascii="Arial" w:eastAsia="Calibri" w:hAnsi="Arial" w:cs="Arial"/>
                <w:sz w:val="10"/>
                <w:szCs w:val="10"/>
              </w:rPr>
              <w:t xml:space="preserve"> </w:t>
            </w:r>
          </w:p>
        </w:tc>
      </w:tr>
      <w:tr w:rsidR="00BD05F0" w:rsidRPr="00DE1D23" w14:paraId="115E7CC2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EB55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02AE" w14:textId="2883C5D5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33521">
              <w:t xml:space="preserve"> $272,334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AF24" w14:textId="59AB5F0F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96F3B">
              <w:t xml:space="preserve"> $280,424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6E16E" w14:textId="3B772CFC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 xml:space="preserve"> $8,090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FB45" w14:textId="7C5F24B9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>3.0%</w:t>
            </w:r>
          </w:p>
        </w:tc>
      </w:tr>
      <w:tr w:rsidR="00BD05F0" w:rsidRPr="00DE1D23" w14:paraId="604C81D9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C729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61F0" w14:textId="31F09A5B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33521">
              <w:t xml:space="preserve"> $299,862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F959" w14:textId="7C9881EE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96F3B">
              <w:t xml:space="preserve"> $316,075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FE097E8" w14:textId="464E73C0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 xml:space="preserve"> $16,213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30918D" w14:textId="13EB0E8E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>5.4%</w:t>
            </w:r>
          </w:p>
        </w:tc>
      </w:tr>
      <w:tr w:rsidR="00BD05F0" w:rsidRPr="00DE1D23" w14:paraId="3C21F350" w14:textId="77777777" w:rsidTr="00512309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4170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5D34" w14:textId="1B8450C3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33521">
              <w:t xml:space="preserve"> $451,976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3C93" w14:textId="5C473651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96F3B">
              <w:t xml:space="preserve"> $547,626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DC571" w14:textId="20E0C0BC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 xml:space="preserve"> $95,650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C6B6C" w14:textId="0D5926CC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>21.2%</w:t>
            </w:r>
          </w:p>
        </w:tc>
      </w:tr>
      <w:tr w:rsidR="00BD05F0" w:rsidRPr="00DE1D23" w14:paraId="6F060978" w14:textId="77777777" w:rsidTr="00512309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1F2C" w14:textId="77777777" w:rsidR="00BD05F0" w:rsidRPr="00DE1D23" w:rsidRDefault="00BD05F0" w:rsidP="00BD05F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D664" w14:textId="2D11F84E" w:rsidR="00BD05F0" w:rsidRPr="00DE1D23" w:rsidRDefault="00BD05F0" w:rsidP="00BD05F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33521">
              <w:t xml:space="preserve"> $372,625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9A77" w14:textId="7CED20EE" w:rsidR="00BD05F0" w:rsidRPr="00DE1D23" w:rsidRDefault="00BD05F0" w:rsidP="00BD05F0">
            <w:pPr>
              <w:spacing w:line="252" w:lineRule="auto"/>
              <w:ind w:left="-90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96F3B">
              <w:t xml:space="preserve"> $402,669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2837C6F" w14:textId="0BFB151B" w:rsidR="00BD05F0" w:rsidRPr="00DE1D23" w:rsidRDefault="00BD05F0" w:rsidP="00BD05F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 xml:space="preserve"> $30,044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9496073" w14:textId="619E1A7D" w:rsidR="00BD05F0" w:rsidRPr="00DE1D23" w:rsidRDefault="00BD05F0" w:rsidP="00BD05F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A6C7F">
              <w:t>8.1%</w:t>
            </w:r>
          </w:p>
        </w:tc>
      </w:tr>
    </w:tbl>
    <w:p w14:paraId="55A63DCC" w14:textId="77777777" w:rsidR="003244DA" w:rsidRDefault="003244DA" w:rsidP="003244DA">
      <w:pPr>
        <w:pStyle w:val="ParagraphIntro"/>
      </w:pPr>
    </w:p>
    <w:p w14:paraId="659DA907" w14:textId="77777777" w:rsidR="003244DA" w:rsidRDefault="003244DA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319BD650" w:rsidR="00722A43" w:rsidRDefault="002920FB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279822B" wp14:editId="06C3991B">
            <wp:extent cx="5486400" cy="32004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25B8E6F" w:rsidR="00FE2AA3" w:rsidRDefault="00752249" w:rsidP="004E6698">
      <w:pPr>
        <w:spacing w:after="120" w:line="300" w:lineRule="auto"/>
      </w:pPr>
      <w:r w:rsidRPr="00D010BD">
        <w:t xml:space="preserve">Seasonally </w:t>
      </w:r>
      <w:r w:rsidR="0060287B" w:rsidRPr="00D010BD">
        <w:t xml:space="preserve">adjusted </w:t>
      </w:r>
      <w:r w:rsidR="0060287B" w:rsidRPr="00D010BD">
        <w:rPr>
          <w:b/>
          <w:bCs/>
        </w:rPr>
        <w:t>i</w:t>
      </w:r>
      <w:r w:rsidR="0060287B" w:rsidRPr="00F84C72">
        <w:rPr>
          <w:rStyle w:val="NormalCalloutText"/>
        </w:rPr>
        <w:t>nventory</w:t>
      </w:r>
      <w:r w:rsidR="0060287B" w:rsidRPr="00D010BD">
        <w:t xml:space="preserve"> tells us how many months it would take to sell the existing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FC4FB0">
        <w:rPr>
          <w:rStyle w:val="NormalCalloutText"/>
        </w:rPr>
        <w:t>September</w:t>
      </w:r>
      <w:r w:rsidR="0060287B" w:rsidRPr="00F84C72">
        <w:rPr>
          <w:rStyle w:val="NormalCalloutText"/>
        </w:rPr>
        <w:t xml:space="preserve"> was </w:t>
      </w:r>
      <w:r w:rsidR="002920FB">
        <w:rPr>
          <w:rStyle w:val="NormalCalloutText"/>
        </w:rPr>
        <w:t>3.1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31F8C">
        <w:rPr>
          <w:b/>
          <w:bCs/>
          <w:color w:val="203058"/>
        </w:rPr>
        <w:t>3</w:t>
      </w:r>
      <w:r w:rsidR="00F51A3F">
        <w:rPr>
          <w:b/>
          <w:bCs/>
          <w:color w:val="203058"/>
        </w:rPr>
        <w:t>,4</w:t>
      </w:r>
      <w:r w:rsidR="002920FB">
        <w:rPr>
          <w:b/>
          <w:bCs/>
          <w:color w:val="203058"/>
        </w:rPr>
        <w:t>02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</w:t>
      </w:r>
      <w:r w:rsidR="00F51A3F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7111FD10" w:rsidR="00FE2AA3" w:rsidRDefault="002920FB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5A263B02" wp14:editId="7B182165">
            <wp:extent cx="5486400" cy="29718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65A57E8F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F51A3F">
        <w:t>4</w:t>
      </w:r>
      <w:r w:rsidRPr="0087289E">
        <w:t>,</w:t>
      </w:r>
      <w:r w:rsidR="002920FB">
        <w:t>240</w:t>
      </w:r>
      <w:r w:rsidRPr="0087289E">
        <w:t xml:space="preserve"> current listings providing </w:t>
      </w:r>
      <w:r w:rsidR="002920FB">
        <w:t>3</w:t>
      </w:r>
      <w:r w:rsidRPr="0087289E">
        <w:t>.</w:t>
      </w:r>
      <w:r w:rsidR="002920FB">
        <w:t>1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E31F8C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F51A3F">
        <w:rPr>
          <w:rStyle w:val="NormalCalloutText"/>
        </w:rPr>
        <w:t>0</w:t>
      </w:r>
      <w:r w:rsidR="002920FB">
        <w:rPr>
          <w:rStyle w:val="NormalCalloutText"/>
        </w:rPr>
        <w:t>90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14ED44F" w14:textId="09E9CF07" w:rsidR="00A5422D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9B80752" wp14:editId="63BC7D89">
            <wp:extent cx="5943600" cy="398145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8C94B1" w14:textId="6D0B3806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F80985D" wp14:editId="5128EA14">
            <wp:extent cx="5943600" cy="398145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1341AD9E-1E6F-4060-A1B9-BF3D45925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EDFCE2" w14:textId="2D5412E6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D65DE48" wp14:editId="29A8DE07">
            <wp:extent cx="5943600" cy="398145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2BA290-9EB2-4DE8-9268-C4598CA48E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0AA5D0" w14:textId="6D87D308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B7DC23" w14:textId="6816D8E4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F8B7EEA" wp14:editId="2CB89EC9">
            <wp:extent cx="5943600" cy="398145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F1F0F4FC-9DA8-406A-90B5-E226912534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E5F232" w14:textId="55598471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63AC71E" wp14:editId="23C14BCA">
            <wp:extent cx="5943600" cy="36576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2110E93E-EED3-4099-9248-F804754D04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3DB9CD" w14:textId="4E0D982E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940B14" w14:textId="3A92BFB5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AD149CA" wp14:editId="41B04E86">
            <wp:extent cx="5943600" cy="36576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FCD88BEE-3EB0-48BE-B02E-3F168FF9BE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83ECFD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6146B0" w:rsidSect="00A542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7D21"/>
    <w:rsid w:val="00416329"/>
    <w:rsid w:val="00416DF0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34EA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Data'!$B$117:$M$117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2657</c:v>
                </c:pt>
                <c:pt idx="1">
                  <c:v>2732</c:v>
                </c:pt>
                <c:pt idx="2">
                  <c:v>2561</c:v>
                </c:pt>
                <c:pt idx="3">
                  <c:v>2145</c:v>
                </c:pt>
                <c:pt idx="4">
                  <c:v>1778</c:v>
                </c:pt>
                <c:pt idx="5">
                  <c:v>1733</c:v>
                </c:pt>
                <c:pt idx="6">
                  <c:v>1808</c:v>
                </c:pt>
                <c:pt idx="7">
                  <c:v>1819</c:v>
                </c:pt>
                <c:pt idx="8">
                  <c:v>1918</c:v>
                </c:pt>
                <c:pt idx="9">
                  <c:v>2277</c:v>
                </c:pt>
                <c:pt idx="10">
                  <c:v>2295</c:v>
                </c:pt>
                <c:pt idx="11">
                  <c:v>2762</c:v>
                </c:pt>
                <c:pt idx="12">
                  <c:v>2816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5-435F-9088-F9CF3B4B2961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Data'!$B$117:$M$117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1620</c:v>
                </c:pt>
                <c:pt idx="1">
                  <c:v>1463</c:v>
                </c:pt>
                <c:pt idx="2">
                  <c:v>1104</c:v>
                </c:pt>
                <c:pt idx="3">
                  <c:v>781</c:v>
                </c:pt>
                <c:pt idx="4">
                  <c:v>1025</c:v>
                </c:pt>
                <c:pt idx="5">
                  <c:v>999</c:v>
                </c:pt>
                <c:pt idx="6">
                  <c:v>1203</c:v>
                </c:pt>
                <c:pt idx="7">
                  <c:v>1427</c:v>
                </c:pt>
                <c:pt idx="8">
                  <c:v>1557</c:v>
                </c:pt>
                <c:pt idx="9">
                  <c:v>1537</c:v>
                </c:pt>
                <c:pt idx="10">
                  <c:v>1519</c:v>
                </c:pt>
                <c:pt idx="11">
                  <c:v>1421</c:v>
                </c:pt>
                <c:pt idx="12">
                  <c:v>1424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05-435F-9088-F9CF3B4B2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  <c:pt idx="12">
                  <c:v>Sept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2.2999999999999998</c:v>
                </c:pt>
                <c:pt idx="1">
                  <c:v>2.2999999999999998</c:v>
                </c:pt>
                <c:pt idx="2">
                  <c:v>2.1</c:v>
                </c:pt>
                <c:pt idx="3">
                  <c:v>1.7</c:v>
                </c:pt>
                <c:pt idx="4">
                  <c:v>1.7</c:v>
                </c:pt>
                <c:pt idx="5">
                  <c:v>1.7</c:v>
                </c:pt>
                <c:pt idx="6">
                  <c:v>1.9</c:v>
                </c:pt>
                <c:pt idx="7">
                  <c:v>2.1</c:v>
                </c:pt>
                <c:pt idx="8">
                  <c:v>2.2999999999999998</c:v>
                </c:pt>
                <c:pt idx="9">
                  <c:v>2.6</c:v>
                </c:pt>
                <c:pt idx="10">
                  <c:v>2.6</c:v>
                </c:pt>
                <c:pt idx="11">
                  <c:v>2.9</c:v>
                </c:pt>
                <c:pt idx="12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D05-435F-9088-F9CF3B4B2961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  <c:pt idx="12">
                  <c:v>Sept</c:v>
                </c:pt>
              </c:strCache>
            </c:strRef>
          </c:cat>
          <c:val>
            <c:numRef>
              <c:f>'Monthly Stats Data'!$B$122:$N$122</c:f>
              <c:numCache>
                <c:formatCode>_(* #,##0.0_);_(* \(#,##0.0\);_(* "-"??_);_(@_)</c:formatCode>
                <c:ptCount val="13"/>
                <c:pt idx="0">
                  <c:v>1</c:v>
                </c:pt>
                <c:pt idx="1">
                  <c:v>1.1000000000000001</c:v>
                </c:pt>
                <c:pt idx="2">
                  <c:v>1</c:v>
                </c:pt>
                <c:pt idx="3">
                  <c:v>0.8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0.7</c:v>
                </c:pt>
                <c:pt idx="8">
                  <c:v>0.8</c:v>
                </c:pt>
                <c:pt idx="9">
                  <c:v>1</c:v>
                </c:pt>
                <c:pt idx="10">
                  <c:v>1.1000000000000001</c:v>
                </c:pt>
                <c:pt idx="11">
                  <c:v>1.4</c:v>
                </c:pt>
                <c:pt idx="1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05-435F-9088-F9CF3B4B2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Data'!$P$136:$P$147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Data'!$Q$136:$Q$147</c:f>
              <c:numCache>
                <c:formatCode>_(* #,##0_);_(* \(#,##0\);_(* "-"??_);_(@_)</c:formatCode>
                <c:ptCount val="12"/>
                <c:pt idx="0">
                  <c:v>4195</c:v>
                </c:pt>
                <c:pt idx="1">
                  <c:v>3665</c:v>
                </c:pt>
                <c:pt idx="2">
                  <c:v>2926</c:v>
                </c:pt>
                <c:pt idx="3">
                  <c:v>2803</c:v>
                </c:pt>
                <c:pt idx="4">
                  <c:v>2732</c:v>
                </c:pt>
                <c:pt idx="5">
                  <c:v>3011</c:v>
                </c:pt>
                <c:pt idx="6">
                  <c:v>3246</c:v>
                </c:pt>
                <c:pt idx="7">
                  <c:v>3475</c:v>
                </c:pt>
                <c:pt idx="8">
                  <c:v>3814</c:v>
                </c:pt>
                <c:pt idx="9">
                  <c:v>3814</c:v>
                </c:pt>
                <c:pt idx="10">
                  <c:v>4183</c:v>
                </c:pt>
                <c:pt idx="11">
                  <c:v>4240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03-4AD9-A7E3-249A39388027}"/>
            </c:ext>
          </c:extLst>
        </c:ser>
        <c:ser>
          <c:idx val="3"/>
          <c:order val="1"/>
          <c:tx>
            <c:strRef>
              <c:f>'Monthly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Data'!$P$136:$P$147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Data'!$T$136:$T$147</c:f>
              <c:numCache>
                <c:formatCode>_(* #,##0_);_(* \(#,##0\);_(* "-"??_);_(@_)</c:formatCode>
                <c:ptCount val="12"/>
                <c:pt idx="0">
                  <c:v>6075</c:v>
                </c:pt>
                <c:pt idx="1">
                  <c:v>6925</c:v>
                </c:pt>
                <c:pt idx="2">
                  <c:v>7375</c:v>
                </c:pt>
                <c:pt idx="3">
                  <c:v>7150</c:v>
                </c:pt>
                <c:pt idx="4">
                  <c:v>7025</c:v>
                </c:pt>
                <c:pt idx="5">
                  <c:v>6630</c:v>
                </c:pt>
                <c:pt idx="6">
                  <c:v>6150</c:v>
                </c:pt>
                <c:pt idx="7">
                  <c:v>5700</c:v>
                </c:pt>
                <c:pt idx="8">
                  <c:v>5150</c:v>
                </c:pt>
                <c:pt idx="9">
                  <c:v>4900</c:v>
                </c:pt>
                <c:pt idx="10">
                  <c:v>4340</c:v>
                </c:pt>
                <c:pt idx="11">
                  <c:v>4090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03-4AD9-A7E3-249A393880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Sale Price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'3rd QTR County Data'!$D$158</c:f>
              <c:strCache>
                <c:ptCount val="1"/>
                <c:pt idx="0">
                  <c:v> Avg Sale Price </c:v>
                </c:pt>
              </c:strCache>
            </c:strRef>
          </c:tx>
          <c:spPr>
            <a:solidFill>
              <a:srgbClr val="1F4E79"/>
            </a:solidFill>
            <a:ln w="9525"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00-48E9-9C39-B58B31DDFD37}"/>
              </c:ext>
            </c:extLst>
          </c:dPt>
          <c:dPt>
            <c:idx val="17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00-48E9-9C39-B58B31DDFD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Data'!$B$174:$B$197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Data'!$D$174:$D$197</c:f>
              <c:numCache>
                <c:formatCode>_("$"* #,##0_);_("$"* \(#,##0\);_("$"* "-"??_);_(@_)</c:formatCode>
                <c:ptCount val="24"/>
                <c:pt idx="0">
                  <c:v>180554</c:v>
                </c:pt>
                <c:pt idx="1">
                  <c:v>186735.75</c:v>
                </c:pt>
                <c:pt idx="2">
                  <c:v>205002.75</c:v>
                </c:pt>
                <c:pt idx="3">
                  <c:v>216405</c:v>
                </c:pt>
                <c:pt idx="4">
                  <c:v>236128.75</c:v>
                </c:pt>
                <c:pt idx="5">
                  <c:v>245881.5</c:v>
                </c:pt>
                <c:pt idx="6">
                  <c:v>258921.5</c:v>
                </c:pt>
                <c:pt idx="7">
                  <c:v>257902.25</c:v>
                </c:pt>
                <c:pt idx="8">
                  <c:v>247393.5</c:v>
                </c:pt>
                <c:pt idx="9">
                  <c:v>220222</c:v>
                </c:pt>
                <c:pt idx="10">
                  <c:v>224569</c:v>
                </c:pt>
                <c:pt idx="11">
                  <c:v>214694.25</c:v>
                </c:pt>
                <c:pt idx="12">
                  <c:v>210513</c:v>
                </c:pt>
                <c:pt idx="13">
                  <c:v>224832.5</c:v>
                </c:pt>
                <c:pt idx="14">
                  <c:v>227366.75</c:v>
                </c:pt>
                <c:pt idx="15">
                  <c:v>241838.75</c:v>
                </c:pt>
                <c:pt idx="16">
                  <c:v>254769.5</c:v>
                </c:pt>
                <c:pt idx="17">
                  <c:v>265591.75</c:v>
                </c:pt>
                <c:pt idx="18">
                  <c:v>285354.75</c:v>
                </c:pt>
                <c:pt idx="19">
                  <c:v>297714.75</c:v>
                </c:pt>
                <c:pt idx="20">
                  <c:v>323509.75</c:v>
                </c:pt>
                <c:pt idx="21">
                  <c:v>367402</c:v>
                </c:pt>
                <c:pt idx="22">
                  <c:v>396050</c:v>
                </c:pt>
                <c:pt idx="23">
                  <c:v>418639.25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00-48E9-9C39-B58B31DDF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457433864"/>
        <c:axId val="4574342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5100-48E9-9C39-B58B31DDFD37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100-48E9-9C39-B58B31DDFD37}"/>
                  </c:ext>
                </c:extLst>
              </c15:ser>
            </c15:filteredBarSeries>
          </c:ext>
        </c:extLst>
      </c:bar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Sales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Data'!$C$158</c:f>
              <c:strCache>
                <c:ptCount val="1"/>
                <c:pt idx="0">
                  <c:v>Number of Units Sold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AEF-4BDE-9D41-9ACFAC2E6405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AEF-4BDE-9D41-9ACFAC2E64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Data'!$B$174:$B$197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Data'!$C$174:$C$197</c:f>
              <c:numCache>
                <c:formatCode>_(* #,##0_);_(* \(#,##0\);_(* "-"??_);_(@_)</c:formatCode>
                <c:ptCount val="24"/>
                <c:pt idx="0">
                  <c:v>12599</c:v>
                </c:pt>
                <c:pt idx="1">
                  <c:v>13222</c:v>
                </c:pt>
                <c:pt idx="2">
                  <c:v>14081</c:v>
                </c:pt>
                <c:pt idx="3">
                  <c:v>14915</c:v>
                </c:pt>
                <c:pt idx="4">
                  <c:v>15566</c:v>
                </c:pt>
                <c:pt idx="5">
                  <c:v>16865</c:v>
                </c:pt>
                <c:pt idx="6">
                  <c:v>15803</c:v>
                </c:pt>
                <c:pt idx="7">
                  <c:v>13861</c:v>
                </c:pt>
                <c:pt idx="8">
                  <c:v>11240</c:v>
                </c:pt>
                <c:pt idx="9">
                  <c:v>11057</c:v>
                </c:pt>
                <c:pt idx="10">
                  <c:v>10310</c:v>
                </c:pt>
                <c:pt idx="11">
                  <c:v>10246</c:v>
                </c:pt>
                <c:pt idx="12">
                  <c:v>12721</c:v>
                </c:pt>
                <c:pt idx="13">
                  <c:v>14335</c:v>
                </c:pt>
                <c:pt idx="14">
                  <c:v>13714</c:v>
                </c:pt>
                <c:pt idx="15">
                  <c:v>15347</c:v>
                </c:pt>
                <c:pt idx="16">
                  <c:v>16324</c:v>
                </c:pt>
                <c:pt idx="17">
                  <c:v>16464</c:v>
                </c:pt>
                <c:pt idx="18">
                  <c:v>16409</c:v>
                </c:pt>
                <c:pt idx="19">
                  <c:v>16162</c:v>
                </c:pt>
                <c:pt idx="20">
                  <c:v>16209</c:v>
                </c:pt>
                <c:pt idx="21">
                  <c:v>17652</c:v>
                </c:pt>
                <c:pt idx="22">
                  <c:v>16135</c:v>
                </c:pt>
                <c:pt idx="23">
                  <c:v>12463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AEF-4BDE-9D41-9ACFAC2E6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Data'!$B$174:$B$195</c15:sqref>
                        </c15:formulaRef>
                      </c:ext>
                    </c:extLst>
                    <c:numCache>
                      <c:formatCode>General</c:formatCode>
                      <c:ptCount val="22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FAEF-4BDE-9D41-9ACFAC2E6405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Data'!$C$174:$C$195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22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  <c:pt idx="19">
                        <c:v>16162</c:v>
                      </c:pt>
                      <c:pt idx="20">
                        <c:v>16209</c:v>
                      </c:pt>
                      <c:pt idx="21">
                        <c:v>17652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AEF-4BDE-9D41-9ACFAC2E6405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6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Listings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Data'!$F$158</c:f>
              <c:strCache>
                <c:ptCount val="1"/>
                <c:pt idx="0">
                  <c:v> Number of Units Listed 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B9C-4872-9947-A397B8A148B8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B9C-4872-9947-A397B8A148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Data'!$B$174:$B$197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Data'!$F$174:$F$197</c:f>
              <c:numCache>
                <c:formatCode>_(* #,##0_);_(* \(#,##0\);_(* "-"??_);_(@_)</c:formatCode>
                <c:ptCount val="24"/>
                <c:pt idx="0">
                  <c:v>18042</c:v>
                </c:pt>
                <c:pt idx="1">
                  <c:v>19351</c:v>
                </c:pt>
                <c:pt idx="2">
                  <c:v>19241</c:v>
                </c:pt>
                <c:pt idx="3">
                  <c:v>19880</c:v>
                </c:pt>
                <c:pt idx="4">
                  <c:v>22134</c:v>
                </c:pt>
                <c:pt idx="5">
                  <c:v>26868</c:v>
                </c:pt>
                <c:pt idx="6">
                  <c:v>31618</c:v>
                </c:pt>
                <c:pt idx="7">
                  <c:v>32318</c:v>
                </c:pt>
                <c:pt idx="8">
                  <c:v>28234</c:v>
                </c:pt>
                <c:pt idx="9">
                  <c:v>28507</c:v>
                </c:pt>
                <c:pt idx="10">
                  <c:v>28114</c:v>
                </c:pt>
                <c:pt idx="11">
                  <c:v>24972</c:v>
                </c:pt>
                <c:pt idx="12">
                  <c:v>24193</c:v>
                </c:pt>
                <c:pt idx="13">
                  <c:v>22459</c:v>
                </c:pt>
                <c:pt idx="14">
                  <c:v>23327</c:v>
                </c:pt>
                <c:pt idx="15">
                  <c:v>23673</c:v>
                </c:pt>
                <c:pt idx="16">
                  <c:v>22889</c:v>
                </c:pt>
                <c:pt idx="17">
                  <c:v>23174</c:v>
                </c:pt>
                <c:pt idx="18">
                  <c:v>21931</c:v>
                </c:pt>
                <c:pt idx="19">
                  <c:v>21907</c:v>
                </c:pt>
                <c:pt idx="20">
                  <c:v>20944</c:v>
                </c:pt>
                <c:pt idx="21">
                  <c:v>22686</c:v>
                </c:pt>
                <c:pt idx="22">
                  <c:v>19623</c:v>
                </c:pt>
                <c:pt idx="23">
                  <c:v>16174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B9C-4872-9947-A397B8A14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Data'!$B$174:$B$195</c15:sqref>
                        </c15:formulaRef>
                      </c:ext>
                    </c:extLst>
                    <c:numCache>
                      <c:formatCode>General</c:formatCode>
                      <c:ptCount val="22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CB9C-4872-9947-A397B8A148B8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Data'!$B$174:$B$197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Data'!$C$174:$C$195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22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  <c:pt idx="19">
                        <c:v>16162</c:v>
                      </c:pt>
                      <c:pt idx="20">
                        <c:v>16209</c:v>
                      </c:pt>
                      <c:pt idx="21">
                        <c:v>17652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B9C-4872-9947-A397B8A148B8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6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Sale Price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'3rd QTR County Data'!$D$291</c:f>
              <c:strCache>
                <c:ptCount val="1"/>
                <c:pt idx="0">
                  <c:v> Avg Sale Price </c:v>
                </c:pt>
              </c:strCache>
            </c:strRef>
          </c:tx>
          <c:spPr>
            <a:solidFill>
              <a:srgbClr val="1F4E79"/>
            </a:solidFill>
            <a:ln w="9525"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46A-410B-9683-7F8D22B61126}"/>
              </c:ext>
            </c:extLst>
          </c:dPt>
          <c:dPt>
            <c:idx val="17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46A-410B-9683-7F8D22B611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Data'!$B$294:$B$317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Data'!$D$294:$D$317</c:f>
              <c:numCache>
                <c:formatCode>_("$"* #,##0_);_("$"* \(#,##0\);_("$"* "-"??_);_(@_)</c:formatCode>
                <c:ptCount val="24"/>
                <c:pt idx="0">
                  <c:v>165672.85714285713</c:v>
                </c:pt>
                <c:pt idx="1">
                  <c:v>173753</c:v>
                </c:pt>
                <c:pt idx="2">
                  <c:v>186249</c:v>
                </c:pt>
                <c:pt idx="3">
                  <c:v>198913.71428571429</c:v>
                </c:pt>
                <c:pt idx="4">
                  <c:v>216819.28571428571</c:v>
                </c:pt>
                <c:pt idx="5">
                  <c:v>231932.57142857142</c:v>
                </c:pt>
                <c:pt idx="6">
                  <c:v>244944.28571428571</c:v>
                </c:pt>
                <c:pt idx="7">
                  <c:v>246164</c:v>
                </c:pt>
                <c:pt idx="8">
                  <c:v>234529.57142857142</c:v>
                </c:pt>
                <c:pt idx="9">
                  <c:v>205776.14285714287</c:v>
                </c:pt>
                <c:pt idx="10">
                  <c:v>205559.28571428571</c:v>
                </c:pt>
                <c:pt idx="11">
                  <c:v>192680.85714285713</c:v>
                </c:pt>
                <c:pt idx="12">
                  <c:v>190716.28571428571</c:v>
                </c:pt>
                <c:pt idx="13">
                  <c:v>200092.42857142858</c:v>
                </c:pt>
                <c:pt idx="14">
                  <c:v>207900.85714285713</c:v>
                </c:pt>
                <c:pt idx="15">
                  <c:v>221152.42857142858</c:v>
                </c:pt>
                <c:pt idx="16">
                  <c:v>230926.28571428571</c:v>
                </c:pt>
                <c:pt idx="17">
                  <c:v>246301.14285714287</c:v>
                </c:pt>
                <c:pt idx="18">
                  <c:v>264816.14285714284</c:v>
                </c:pt>
                <c:pt idx="19">
                  <c:v>277172.42857142858</c:v>
                </c:pt>
                <c:pt idx="20">
                  <c:v>306317.85714285716</c:v>
                </c:pt>
                <c:pt idx="21">
                  <c:v>347398.85714285716</c:v>
                </c:pt>
                <c:pt idx="22">
                  <c:v>372624.57142857142</c:v>
                </c:pt>
                <c:pt idx="23">
                  <c:v>402668.85714285716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6A-410B-9683-7F8D22B61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457433864"/>
        <c:axId val="4574342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046A-410B-9683-7F8D22B61126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46A-410B-9683-7F8D22B61126}"/>
                  </c:ext>
                </c:extLst>
              </c15:ser>
            </c15:filteredBarSeries>
          </c:ext>
        </c:extLst>
      </c:bar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Sales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Data'!$C$291</c:f>
              <c:strCache>
                <c:ptCount val="1"/>
                <c:pt idx="0">
                  <c:v>Number of Units Sold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8E-4521-85E6-C056097FD757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08E-4521-85E6-C056097FD7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Data'!$B$294:$B$317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Data'!$C$294:$C$317</c:f>
              <c:numCache>
                <c:formatCode>_(* #,##0_);_(* \(#,##0\);_(* "-"??_);_(@_)</c:formatCode>
                <c:ptCount val="24"/>
                <c:pt idx="0">
                  <c:v>17019</c:v>
                </c:pt>
                <c:pt idx="1">
                  <c:v>17799</c:v>
                </c:pt>
                <c:pt idx="2">
                  <c:v>19038</c:v>
                </c:pt>
                <c:pt idx="3">
                  <c:v>20090</c:v>
                </c:pt>
                <c:pt idx="4">
                  <c:v>21273</c:v>
                </c:pt>
                <c:pt idx="5">
                  <c:v>22772</c:v>
                </c:pt>
                <c:pt idx="6">
                  <c:v>20975</c:v>
                </c:pt>
                <c:pt idx="7">
                  <c:v>18454</c:v>
                </c:pt>
                <c:pt idx="8">
                  <c:v>14798</c:v>
                </c:pt>
                <c:pt idx="9">
                  <c:v>14130</c:v>
                </c:pt>
                <c:pt idx="10">
                  <c:v>13586</c:v>
                </c:pt>
                <c:pt idx="11">
                  <c:v>13603</c:v>
                </c:pt>
                <c:pt idx="12">
                  <c:v>16574</c:v>
                </c:pt>
                <c:pt idx="13">
                  <c:v>18936</c:v>
                </c:pt>
                <c:pt idx="14">
                  <c:v>18071</c:v>
                </c:pt>
                <c:pt idx="15">
                  <c:v>20427</c:v>
                </c:pt>
                <c:pt idx="16">
                  <c:v>21786</c:v>
                </c:pt>
                <c:pt idx="17">
                  <c:v>21975</c:v>
                </c:pt>
                <c:pt idx="18">
                  <c:v>21845</c:v>
                </c:pt>
                <c:pt idx="19">
                  <c:v>21600</c:v>
                </c:pt>
                <c:pt idx="20">
                  <c:v>21670</c:v>
                </c:pt>
                <c:pt idx="21">
                  <c:v>23539</c:v>
                </c:pt>
                <c:pt idx="22">
                  <c:v>21358</c:v>
                </c:pt>
                <c:pt idx="23">
                  <c:v>16550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08E-4521-85E6-C056097FD7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F08E-4521-85E6-C056097FD757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08E-4521-85E6-C056097FD757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Listings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Data'!$F$291</c:f>
              <c:strCache>
                <c:ptCount val="1"/>
                <c:pt idx="0">
                  <c:v> Number of Units Listed 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D-41E3-B5D4-D6962FC3472A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D-41E3-B5D4-D6962FC347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Data'!$B$294:$B$317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'3rd QTR County Data'!$F$294:$F$317</c:f>
              <c:numCache>
                <c:formatCode>_(* #,##0_);_(* \(#,##0\);_(* "-"??_);_(@_)</c:formatCode>
                <c:ptCount val="24"/>
                <c:pt idx="0">
                  <c:v>24865</c:v>
                </c:pt>
                <c:pt idx="1">
                  <c:v>26546</c:v>
                </c:pt>
                <c:pt idx="2">
                  <c:v>26374</c:v>
                </c:pt>
                <c:pt idx="3">
                  <c:v>27426</c:v>
                </c:pt>
                <c:pt idx="4">
                  <c:v>30641</c:v>
                </c:pt>
                <c:pt idx="5">
                  <c:v>36595</c:v>
                </c:pt>
                <c:pt idx="6">
                  <c:v>42989</c:v>
                </c:pt>
                <c:pt idx="7">
                  <c:v>44071</c:v>
                </c:pt>
                <c:pt idx="8">
                  <c:v>38805</c:v>
                </c:pt>
                <c:pt idx="9">
                  <c:v>40141</c:v>
                </c:pt>
                <c:pt idx="10">
                  <c:v>40031</c:v>
                </c:pt>
                <c:pt idx="11">
                  <c:v>34845</c:v>
                </c:pt>
                <c:pt idx="12">
                  <c:v>33204</c:v>
                </c:pt>
                <c:pt idx="13">
                  <c:v>30636</c:v>
                </c:pt>
                <c:pt idx="14">
                  <c:v>31475</c:v>
                </c:pt>
                <c:pt idx="15">
                  <c:v>32081</c:v>
                </c:pt>
                <c:pt idx="16">
                  <c:v>30694</c:v>
                </c:pt>
                <c:pt idx="17">
                  <c:v>30895</c:v>
                </c:pt>
                <c:pt idx="18">
                  <c:v>29436</c:v>
                </c:pt>
                <c:pt idx="19">
                  <c:v>29477</c:v>
                </c:pt>
                <c:pt idx="20">
                  <c:v>27991</c:v>
                </c:pt>
                <c:pt idx="21">
                  <c:v>30035</c:v>
                </c:pt>
                <c:pt idx="22">
                  <c:v>26186</c:v>
                </c:pt>
                <c:pt idx="23">
                  <c:v>21464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D1D-41E3-B5D4-D6962FC34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5D1D-41E3-B5D4-D6962FC3472A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Data'!$B$294:$B$317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D1D-41E3-B5D4-D6962FC3472A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0.01504</cdr:x>
      <cdr:y>0.83011</cdr:y>
    </cdr:from>
    <cdr:to>
      <cdr:x>0.09838</cdr:x>
      <cdr:y>0.98397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82528" y="2466934"/>
          <a:ext cx="457236" cy="45724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0.92291</cdr:x>
      <cdr:y>0.8552</cdr:y>
    </cdr:from>
    <cdr:to>
      <cdr:x>0.98958</cdr:x>
      <cdr:y>0.97756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063472" y="2541496"/>
          <a:ext cx="365778" cy="36362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3</cp:revision>
  <cp:lastPrinted>2023-10-11T19:10:00Z</cp:lastPrinted>
  <dcterms:created xsi:type="dcterms:W3CDTF">2023-10-10T23:07:00Z</dcterms:created>
  <dcterms:modified xsi:type="dcterms:W3CDTF">2023-10-11T19:10:00Z</dcterms:modified>
</cp:coreProperties>
</file>