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6289CCBE" w:rsidR="00AD4C46" w:rsidRPr="000478F6" w:rsidRDefault="00697541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January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6289CCBE" w:rsidR="00AD4C46" w:rsidRPr="000478F6" w:rsidRDefault="00697541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January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542FF4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542FF4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4231C6EC" w:rsidR="00775F51" w:rsidRDefault="00775F51" w:rsidP="00AD4C46">
      <w:pPr>
        <w:pStyle w:val="Heading1"/>
      </w:pPr>
      <w:r>
        <w:t xml:space="preserve">Home Sales </w:t>
      </w:r>
      <w:r w:rsidR="00430E07">
        <w:t>Through 4</w:t>
      </w:r>
      <w:r w:rsidR="00430E07" w:rsidRPr="00C24714">
        <w:rPr>
          <w:vertAlign w:val="superscript"/>
        </w:rPr>
        <w:t>th</w:t>
      </w:r>
      <w:r w:rsidR="00430E07">
        <w:t xml:space="preserve"> Qtr </w:t>
      </w:r>
      <w:r>
        <w:t xml:space="preserve">Down </w:t>
      </w:r>
      <w:r w:rsidR="00430E07">
        <w:t>18.6</w:t>
      </w:r>
      <w:r>
        <w:t>%</w:t>
      </w:r>
    </w:p>
    <w:p w14:paraId="4EFD022F" w14:textId="2D8F20C4" w:rsidR="00127EF0" w:rsidRPr="00AD4C46" w:rsidRDefault="00C24714" w:rsidP="00AD4C46">
      <w:pPr>
        <w:pStyle w:val="Heading1"/>
      </w:pPr>
      <w:r>
        <w:t>Dec</w:t>
      </w:r>
      <w:r w:rsidR="00775F51">
        <w:t>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03F2F" w:rsidRPr="00AD4C46">
        <w:t>Down</w:t>
      </w:r>
      <w:r w:rsidR="00681DC8" w:rsidRPr="00AD4C46">
        <w:t xml:space="preserve"> </w:t>
      </w:r>
      <w:r>
        <w:t>10.5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7FA359CF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Down </w:t>
            </w:r>
            <w:r w:rsidR="00F75F7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ue To Low Inventory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68B7777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Grew </w:t>
            </w:r>
            <w:r w:rsidR="00430E07">
              <w:rPr>
                <w:sz w:val="24"/>
                <w:szCs w:val="24"/>
              </w:rPr>
              <w:t>In Last 5 Months of 2023</w:t>
            </w:r>
            <w:r w:rsidR="00015D53" w:rsidRPr="007B1281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08A06172" w:rsidR="00E302C4" w:rsidRPr="002F2B80" w:rsidRDefault="00474ECB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Sales Price</w:t>
            </w:r>
            <w:r w:rsidR="00C547F1">
              <w:rPr>
                <w:sz w:val="24"/>
                <w:szCs w:val="24"/>
              </w:rPr>
              <w:t xml:space="preserve"> Tops $400K For First Time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40D40D02" w:rsidR="00B170CC" w:rsidRPr="00627017" w:rsidRDefault="00430E07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430E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C547F1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18D09018" w:rsidR="00C547F1" w:rsidRPr="00627017" w:rsidRDefault="00C547F1" w:rsidP="00C547F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11,947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079A758B" w:rsidR="00C547F1" w:rsidRPr="00627017" w:rsidRDefault="00C547F1" w:rsidP="00C547F1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9,534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4B9BFC89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>-20.2%</w:t>
            </w:r>
          </w:p>
        </w:tc>
      </w:tr>
      <w:tr w:rsidR="00C547F1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3A33DF99" w:rsidR="00C547F1" w:rsidRPr="00627017" w:rsidRDefault="00C547F1" w:rsidP="00C547F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5,379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315C386" w:rsidR="00C547F1" w:rsidRPr="00627017" w:rsidRDefault="00C547F1" w:rsidP="00C547F1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4,539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4FAEECE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>-15.6%</w:t>
            </w:r>
          </w:p>
        </w:tc>
      </w:tr>
      <w:tr w:rsidR="00C547F1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49A829E1" w:rsidR="00C547F1" w:rsidRPr="00627017" w:rsidRDefault="00C547F1" w:rsidP="00C547F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1,764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35B7CCC" w:rsidR="00C547F1" w:rsidRPr="00627017" w:rsidRDefault="00C547F1" w:rsidP="00C547F1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1,416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77CF72B3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>-19.7%</w:t>
            </w:r>
          </w:p>
        </w:tc>
      </w:tr>
      <w:tr w:rsidR="00C547F1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6C704000" w:rsidR="00C547F1" w:rsidRPr="00627017" w:rsidRDefault="00C547F1" w:rsidP="00C547F1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1,278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29542D52" w:rsidR="00C547F1" w:rsidRPr="00627017" w:rsidRDefault="00C547F1" w:rsidP="00C547F1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 1,097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1D5B7D3B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>-14.2%</w:t>
            </w:r>
          </w:p>
        </w:tc>
      </w:tr>
      <w:tr w:rsidR="00C547F1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24381B16" w:rsidR="00C547F1" w:rsidRPr="00627017" w:rsidRDefault="00C547F1" w:rsidP="00C547F1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DE02FC">
              <w:t xml:space="preserve">20,368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57F9C645" w:rsidR="00C547F1" w:rsidRPr="00627017" w:rsidRDefault="00C547F1" w:rsidP="00C547F1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Pr="00DE02FC">
              <w:t xml:space="preserve">6,586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4169F45E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02FC">
              <w:t>-18.6%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547F1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5C063CB9" w:rsidR="00C547F1" w:rsidRPr="00627017" w:rsidRDefault="00C547F1" w:rsidP="00C547F1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2,940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765460C4" w:rsidR="00C547F1" w:rsidRPr="00627017" w:rsidRDefault="00C547F1" w:rsidP="00C547F1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2,287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1E113E0F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>-22.2%</w:t>
            </w:r>
          </w:p>
        </w:tc>
      </w:tr>
      <w:tr w:rsidR="00C547F1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16868CDC" w:rsidR="00C547F1" w:rsidRPr="00627017" w:rsidRDefault="00C547F1" w:rsidP="00C547F1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2,133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42D68B5E" w:rsidR="00C547F1" w:rsidRPr="00627017" w:rsidRDefault="00C547F1" w:rsidP="00C547F1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1,690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3BAD7EDF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>-20.8%</w:t>
            </w:r>
          </w:p>
        </w:tc>
      </w:tr>
      <w:tr w:rsidR="00C547F1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09E9162B" w:rsidR="00C547F1" w:rsidRPr="00627017" w:rsidRDefault="00C547F1" w:rsidP="00C547F1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1,668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4E042B57" w:rsidR="00C547F1" w:rsidRPr="00627017" w:rsidRDefault="00C547F1" w:rsidP="00C547F1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1,336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10FF7988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>-19.9%</w:t>
            </w:r>
          </w:p>
        </w:tc>
      </w:tr>
      <w:tr w:rsidR="00C547F1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C547F1" w:rsidRPr="00627017" w:rsidRDefault="00C547F1" w:rsidP="00C547F1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70E58EDB" w:rsidR="00C547F1" w:rsidRPr="00627017" w:rsidRDefault="00C547F1" w:rsidP="00C547F1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27,109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1C12E965" w:rsidR="00C547F1" w:rsidRPr="00627017" w:rsidRDefault="00C547F1" w:rsidP="00C547F1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 xml:space="preserve"> 21,899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C908FB3" w:rsidR="00C547F1" w:rsidRPr="00627017" w:rsidRDefault="00C547F1" w:rsidP="00C547F1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12A7">
              <w:t>-19.2%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40DE82F2" w:rsidR="00F264CF" w:rsidRPr="00627017" w:rsidRDefault="00430E07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430E07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77C2D629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746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089EE499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675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52B4853E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-9.5%</w:t>
            </w:r>
          </w:p>
        </w:tc>
      </w:tr>
      <w:tr w:rsidR="00430E07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7268762F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342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2C8AE109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298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6E7E8C3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-12.9%</w:t>
            </w:r>
          </w:p>
        </w:tc>
      </w:tr>
      <w:tr w:rsidR="00430E07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69D98084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58243592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53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00281848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-32.1%</w:t>
            </w:r>
          </w:p>
        </w:tc>
      </w:tr>
      <w:tr w:rsidR="00430E07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1D382766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0E4C321A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113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1C2ABA3B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6.6%</w:t>
            </w:r>
          </w:p>
        </w:tc>
      </w:tr>
      <w:tr w:rsidR="00430E07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2E373869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1,272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177BD8DB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1,139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053B12B1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450">
              <w:t>-10.5%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0E07" w:rsidRPr="00627017" w14:paraId="6862758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7AA5E42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2DEEAFAB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175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38D5F49C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-4.9%</w:t>
            </w:r>
          </w:p>
        </w:tc>
      </w:tr>
      <w:tr w:rsidR="00430E07" w:rsidRPr="00627017" w14:paraId="43BFC7D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0315D513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137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779BE98E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335BDA82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-7.3%</w:t>
            </w:r>
          </w:p>
        </w:tc>
      </w:tr>
      <w:tr w:rsidR="00430E07" w:rsidRPr="00627017" w14:paraId="74C7B9C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65DA899C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0BDE2474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64293681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-12.6%</w:t>
            </w:r>
          </w:p>
        </w:tc>
      </w:tr>
      <w:tr w:rsidR="00430E07" w:rsidRPr="00627017" w14:paraId="719D3710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430E07" w:rsidRPr="00627017" w:rsidRDefault="00430E07" w:rsidP="00430E07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1C1CCDD4" w:rsidR="00430E07" w:rsidRPr="00627017" w:rsidRDefault="00430E07" w:rsidP="00430E07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1,696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18110520" w:rsidR="00430E07" w:rsidRPr="00627017" w:rsidRDefault="00430E07" w:rsidP="00430E07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1,531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5FFE5E8F" w:rsidR="00430E07" w:rsidRPr="00627017" w:rsidRDefault="00430E07" w:rsidP="00430E07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523">
              <w:t>-9.7%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5FB8391F" w:rsidR="004B2A93" w:rsidRDefault="00C547F1" w:rsidP="00F84C72">
      <w:r>
        <w:t>Home sales in the Metropolitan Milwaukee market area were down</w:t>
      </w:r>
      <w:r w:rsidRPr="002D4641">
        <w:t xml:space="preserve"> </w:t>
      </w:r>
      <w:r w:rsidR="00607B60">
        <w:t xml:space="preserve">through the </w:t>
      </w:r>
      <w:r>
        <w:t>4</w:t>
      </w:r>
      <w:r w:rsidRPr="00C547F1">
        <w:rPr>
          <w:vertAlign w:val="superscript"/>
        </w:rPr>
        <w:t>th</w:t>
      </w:r>
      <w:r>
        <w:t xml:space="preserve"> </w:t>
      </w:r>
      <w:r w:rsidR="00607B60">
        <w:t xml:space="preserve">quarter and for the month of </w:t>
      </w:r>
      <w:r>
        <w:t>December</w:t>
      </w:r>
      <w:r w:rsidR="00607B60">
        <w:t>, by</w:t>
      </w:r>
      <w:r w:rsidR="00EE505B">
        <w:t xml:space="preserve"> </w:t>
      </w:r>
      <w:r>
        <w:t>18</w:t>
      </w:r>
      <w:r w:rsidR="00607B60">
        <w:t>.</w:t>
      </w:r>
      <w:r>
        <w:t>6</w:t>
      </w:r>
      <w:r w:rsidR="00EE505B">
        <w:t xml:space="preserve">% </w:t>
      </w:r>
      <w:r w:rsidR="00607B60">
        <w:t>and 1</w:t>
      </w:r>
      <w:r>
        <w:t>0</w:t>
      </w:r>
      <w:r w:rsidR="00607B60">
        <w:t>.</w:t>
      </w:r>
      <w:r>
        <w:t>5</w:t>
      </w:r>
      <w:r w:rsidR="00607B60">
        <w:t>%, respectively.</w:t>
      </w:r>
      <w:r w:rsidR="000359A8">
        <w:t xml:space="preserve"> </w:t>
      </w:r>
    </w:p>
    <w:p w14:paraId="51DB5E5F" w14:textId="77777777" w:rsidR="00591C7A" w:rsidRDefault="00591C7A" w:rsidP="00F84C72"/>
    <w:p w14:paraId="1A0894A4" w14:textId="5E0FD1F8" w:rsidR="00607B60" w:rsidRDefault="00C547F1" w:rsidP="00F84C72">
      <w:r>
        <w:t>L</w:t>
      </w:r>
      <w:r w:rsidR="00607B60">
        <w:t>istings</w:t>
      </w:r>
      <w:r>
        <w:t>, on the other hand,</w:t>
      </w:r>
      <w:r w:rsidR="00607B60">
        <w:t xml:space="preserve"> were up </w:t>
      </w:r>
      <w:r>
        <w:t xml:space="preserve">in December by </w:t>
      </w:r>
      <w:r w:rsidR="001530AA">
        <w:t xml:space="preserve">1.1%, but new listings were down </w:t>
      </w:r>
      <w:r w:rsidR="00402A91">
        <w:t>14</w:t>
      </w:r>
      <w:r w:rsidR="00306E84">
        <w:t>.</w:t>
      </w:r>
      <w:r w:rsidR="00402A91">
        <w:t>2</w:t>
      </w:r>
      <w:r w:rsidR="00306E84">
        <w:t xml:space="preserve">% </w:t>
      </w:r>
      <w:r w:rsidR="001530AA">
        <w:t>through the</w:t>
      </w:r>
      <w:r w:rsidR="00607B60">
        <w:t xml:space="preserve"> </w:t>
      </w:r>
      <w:r w:rsidR="001530AA">
        <w:t>4</w:t>
      </w:r>
      <w:r w:rsidR="001530AA" w:rsidRPr="001530AA">
        <w:rPr>
          <w:vertAlign w:val="superscript"/>
        </w:rPr>
        <w:t>th</w:t>
      </w:r>
      <w:r w:rsidR="001530AA">
        <w:t xml:space="preserve"> </w:t>
      </w:r>
      <w:r w:rsidR="00607B60">
        <w:t>quarter of 202</w:t>
      </w:r>
      <w:r w:rsidR="001530AA">
        <w:t>3, compared to 2022</w:t>
      </w:r>
      <w:r w:rsidR="00607B60">
        <w:t xml:space="preserve">. </w:t>
      </w:r>
    </w:p>
    <w:p w14:paraId="3138345D" w14:textId="77777777" w:rsidR="00607B60" w:rsidRDefault="00607B60" w:rsidP="00F84C72"/>
    <w:p w14:paraId="54ACFC4E" w14:textId="3DB7E707" w:rsidR="00591C7A" w:rsidRDefault="00402A91" w:rsidP="00F84C72">
      <w:r>
        <w:t xml:space="preserve">The </w:t>
      </w:r>
      <w:r w:rsidRPr="00402A91">
        <w:rPr>
          <w:b/>
          <w:bCs/>
        </w:rPr>
        <w:t>biggest story of 2023 was that h</w:t>
      </w:r>
      <w:r w:rsidR="00591C7A" w:rsidRPr="00402A91">
        <w:rPr>
          <w:b/>
          <w:bCs/>
        </w:rPr>
        <w:t xml:space="preserve">ome sales </w:t>
      </w:r>
      <w:r w:rsidR="002F03D7" w:rsidRPr="00402A91">
        <w:rPr>
          <w:b/>
          <w:bCs/>
        </w:rPr>
        <w:t>we</w:t>
      </w:r>
      <w:r w:rsidR="00591C7A" w:rsidRPr="00402A91">
        <w:rPr>
          <w:b/>
          <w:bCs/>
        </w:rPr>
        <w:t xml:space="preserve">re down </w:t>
      </w:r>
      <w:r w:rsidR="00591C7A" w:rsidRPr="004036BD">
        <w:rPr>
          <w:b/>
          <w:bCs/>
        </w:rPr>
        <w:t>because of a lack of inventory</w:t>
      </w:r>
      <w:r w:rsidR="00785F83" w:rsidRPr="004036BD">
        <w:rPr>
          <w:b/>
          <w:bCs/>
        </w:rPr>
        <w:t xml:space="preserve"> </w:t>
      </w:r>
      <w:r w:rsidR="00F75F7E" w:rsidRPr="004036BD">
        <w:rPr>
          <w:b/>
          <w:bCs/>
        </w:rPr>
        <w:t>not a lack of buyer interest</w:t>
      </w:r>
      <w:r>
        <w:t>, or even higher interest rates</w:t>
      </w:r>
      <w:r w:rsidR="00F75F7E">
        <w:t xml:space="preserve">. The </w:t>
      </w:r>
      <w:r w:rsidR="004036BD">
        <w:t xml:space="preserve">inventory </w:t>
      </w:r>
      <w:r w:rsidR="00F75F7E">
        <w:t>defici</w:t>
      </w:r>
      <w:r w:rsidR="004036BD">
        <w:t>t wa</w:t>
      </w:r>
      <w:r w:rsidR="002F03D7">
        <w:t xml:space="preserve">s due to two market forces: </w:t>
      </w:r>
      <w:r w:rsidR="002F03D7" w:rsidRPr="00C434EA">
        <w:rPr>
          <w:u w:val="single"/>
        </w:rPr>
        <w:t xml:space="preserve">new construction and </w:t>
      </w:r>
      <w:r w:rsidR="00C434EA">
        <w:rPr>
          <w:u w:val="single"/>
        </w:rPr>
        <w:t xml:space="preserve">new </w:t>
      </w:r>
      <w:r w:rsidR="002F03D7" w:rsidRPr="00C434EA">
        <w:rPr>
          <w:u w:val="single"/>
        </w:rPr>
        <w:t>listings</w:t>
      </w:r>
      <w:r w:rsidR="002F03D7">
        <w:t xml:space="preserve">. </w:t>
      </w:r>
    </w:p>
    <w:p w14:paraId="6D7EF014" w14:textId="77777777" w:rsidR="004B2A93" w:rsidRDefault="004B2A93" w:rsidP="00F84C72"/>
    <w:p w14:paraId="4FE50EF4" w14:textId="4FA5580E" w:rsidR="00785F83" w:rsidRDefault="00105A82" w:rsidP="00F84C72">
      <w:r>
        <w:t>Through November</w:t>
      </w:r>
      <w:r w:rsidR="00542FF4">
        <w:t>,</w:t>
      </w:r>
      <w:r w:rsidR="007A5A12" w:rsidRPr="007A5A12">
        <w:t xml:space="preserve"> </w:t>
      </w:r>
      <w:r w:rsidR="003244DA">
        <w:t>1,</w:t>
      </w:r>
      <w:r>
        <w:t>510</w:t>
      </w:r>
      <w:r w:rsidR="003244DA">
        <w:t xml:space="preserve"> </w:t>
      </w:r>
      <w:r w:rsidRPr="00105A82">
        <w:rPr>
          <w:u w:val="single"/>
        </w:rPr>
        <w:t>new construction</w:t>
      </w:r>
      <w:r w:rsidR="003244DA" w:rsidRPr="00105A82">
        <w:rPr>
          <w:u w:val="single"/>
        </w:rPr>
        <w:t xml:space="preserve"> permits</w:t>
      </w:r>
      <w:r w:rsidR="003244DA">
        <w:t xml:space="preserve"> were taken out in the 4-county area</w:t>
      </w:r>
      <w:r w:rsidR="00E65D35">
        <w:t xml:space="preserve"> in 2023</w:t>
      </w:r>
      <w:r w:rsidR="003244DA">
        <w:t xml:space="preserve">, </w:t>
      </w:r>
      <w:r>
        <w:t>16.3</w:t>
      </w:r>
      <w:r w:rsidR="003244DA">
        <w:t>% below the same period in 2022</w:t>
      </w:r>
      <w:r w:rsidR="00BD05F0">
        <w:t>, c</w:t>
      </w:r>
      <w:r w:rsidR="003244DA">
        <w:t xml:space="preserve">ontinuing a </w:t>
      </w:r>
      <w:r>
        <w:t xml:space="preserve">years’ long </w:t>
      </w:r>
      <w:r w:rsidR="008D5219">
        <w:t>period of low production.</w:t>
      </w:r>
      <w:r w:rsidR="007A5A12">
        <w:t xml:space="preserve"> </w:t>
      </w:r>
    </w:p>
    <w:p w14:paraId="699E76B4" w14:textId="77777777" w:rsidR="00C434EA" w:rsidRDefault="00C434EA" w:rsidP="00F84C72"/>
    <w:p w14:paraId="571D0DF5" w14:textId="1522461F" w:rsidR="00C434EA" w:rsidRPr="007A5A12" w:rsidRDefault="00C434EA" w:rsidP="00F84C72">
      <w:r w:rsidRPr="00C434EA"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>since the Great Recession</w:t>
      </w:r>
      <w:r w:rsidRPr="00C434EA">
        <w:t>.</w:t>
      </w:r>
      <w:r w:rsidR="00105A82">
        <w:t xml:space="preserve"> </w:t>
      </w:r>
    </w:p>
    <w:p w14:paraId="18701235" w14:textId="77777777" w:rsidR="00785F83" w:rsidRDefault="00785F83" w:rsidP="00F84C72"/>
    <w:p w14:paraId="0C021660" w14:textId="71632201" w:rsidR="002920FB" w:rsidRDefault="00105A82" w:rsidP="00F84C72">
      <w:r w:rsidRPr="00105A82">
        <w:lastRenderedPageBreak/>
        <w:t xml:space="preserve">While </w:t>
      </w:r>
      <w:r w:rsidRPr="00105A82">
        <w:rPr>
          <w:u w:val="single"/>
        </w:rPr>
        <w:t>n</w:t>
      </w:r>
      <w:r w:rsidR="00F75F7E" w:rsidRPr="00105A82">
        <w:rPr>
          <w:u w:val="single"/>
        </w:rPr>
        <w:t>ew listings were up</w:t>
      </w:r>
      <w:r w:rsidR="00F75F7E" w:rsidRPr="00105A82">
        <w:t xml:space="preserve"> </w:t>
      </w:r>
      <w:r w:rsidRPr="00105A82">
        <w:t>in the</w:t>
      </w:r>
      <w:r w:rsidR="00306E84" w:rsidRPr="00105A82">
        <w:t xml:space="preserve"> </w:t>
      </w:r>
      <w:r>
        <w:t>final five months of 2023, they were down 14.2% for the year</w:t>
      </w:r>
      <w:r w:rsidR="00F75F7E">
        <w:t xml:space="preserve">. </w:t>
      </w:r>
      <w:r>
        <w:t xml:space="preserve">As the </w:t>
      </w:r>
      <w:r w:rsidRPr="00AC28D6">
        <w:rPr>
          <w:i/>
          <w:iCs/>
        </w:rPr>
        <w:t>4 County Listings</w:t>
      </w:r>
      <w:r w:rsidR="00BC0D66">
        <w:rPr>
          <w:i/>
          <w:iCs/>
        </w:rPr>
        <w:t xml:space="preserve"> - 2023</w:t>
      </w:r>
      <w:r>
        <w:t xml:space="preserve"> and </w:t>
      </w:r>
      <w:r w:rsidRPr="00AC28D6">
        <w:rPr>
          <w:i/>
          <w:iCs/>
        </w:rPr>
        <w:t>7 County Listings</w:t>
      </w:r>
      <w:r w:rsidR="00BC0D66">
        <w:rPr>
          <w:i/>
          <w:iCs/>
        </w:rPr>
        <w:t xml:space="preserve"> - 2023</w:t>
      </w:r>
      <w:r>
        <w:t xml:space="preserve"> graphs, below, indicate listings have been </w:t>
      </w:r>
      <w:r w:rsidR="00AC28D6">
        <w:t>anemic</w:t>
      </w:r>
      <w:r>
        <w:t xml:space="preserve"> for several years. </w:t>
      </w:r>
    </w:p>
    <w:p w14:paraId="21715E95" w14:textId="77777777" w:rsidR="00105A82" w:rsidRDefault="00105A82" w:rsidP="00F84C72"/>
    <w:p w14:paraId="54C70D28" w14:textId="2109926D" w:rsidR="00306E84" w:rsidRDefault="002920FB" w:rsidP="00F84C72">
      <w:r>
        <w:t xml:space="preserve">The supply of inventory on hand was </w:t>
      </w:r>
      <w:r w:rsidRPr="00F84C72">
        <w:t xml:space="preserve">only enough to satisfy </w:t>
      </w:r>
      <w:r w:rsidR="00AC28D6">
        <w:t>2</w:t>
      </w:r>
      <w:r>
        <w:t>.</w:t>
      </w:r>
      <w:r w:rsidR="00AC28D6">
        <w:t>4</w:t>
      </w:r>
      <w:r w:rsidRPr="00F84C72">
        <w:t xml:space="preserve"> months of </w:t>
      </w:r>
      <w:r>
        <w:t xml:space="preserve">buyer </w:t>
      </w:r>
      <w:r w:rsidRPr="00F84C72">
        <w:t>demand</w:t>
      </w:r>
      <w:r w:rsidR="00AC28D6">
        <w:t xml:space="preserve"> in 2023</w:t>
      </w:r>
      <w:r w:rsidRPr="00F84C72">
        <w:t xml:space="preserve">, and if we subtract units with an offer that level drops to </w:t>
      </w:r>
      <w:r>
        <w:t>1.</w:t>
      </w:r>
      <w:r w:rsidR="00AC28D6">
        <w:t>0</w:t>
      </w:r>
      <w:r w:rsidRPr="00F84C72">
        <w:t xml:space="preserve"> month</w:t>
      </w:r>
      <w:r>
        <w:t xml:space="preserve">. That is slightly ahead of </w:t>
      </w:r>
      <w:r w:rsidR="00AC28D6">
        <w:t>2022’s</w:t>
      </w:r>
      <w:r>
        <w:t xml:space="preserve"> </w:t>
      </w:r>
      <w:r w:rsidR="00AC28D6">
        <w:t>0</w:t>
      </w:r>
      <w:r>
        <w:t>.</w:t>
      </w:r>
      <w:r w:rsidR="00AC28D6">
        <w:t>9</w:t>
      </w:r>
      <w:r>
        <w:t xml:space="preserve"> months of inventory, but well below the 6 months commonly assumed to be a balanced market. </w:t>
      </w:r>
    </w:p>
    <w:tbl>
      <w:tblPr>
        <w:tblpPr w:leftFromText="187" w:rightFromText="288" w:bottomFromText="115" w:vertAnchor="text" w:horzAnchor="margin" w:tblpXSpec="right" w:tblpY="-48"/>
        <w:tblW w:w="4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  <w:gridCol w:w="7"/>
      </w:tblGrid>
      <w:tr w:rsidR="00C8517F" w:rsidRPr="00627017" w14:paraId="27CF209A" w14:textId="77777777" w:rsidTr="00C8517F">
        <w:trPr>
          <w:trHeight w:val="432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54E" w14:textId="77777777" w:rsidR="00C8517F" w:rsidRPr="00627017" w:rsidRDefault="00C8517F" w:rsidP="00C8517F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30E0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Quarter </w:t>
            </w:r>
            <w:r>
              <w:rPr>
                <w:rFonts w:ascii="Arial" w:hAnsi="Arial" w:cs="Arial"/>
                <w:b/>
                <w:sz w:val="24"/>
                <w:szCs w:val="24"/>
              </w:rPr>
              <w:t>Listings</w:t>
            </w:r>
          </w:p>
        </w:tc>
      </w:tr>
      <w:tr w:rsidR="00C8517F" w:rsidRPr="00627017" w14:paraId="2B7E587D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50228E88" w14:textId="77777777" w:rsidR="00C8517F" w:rsidRPr="00627017" w:rsidRDefault="00C8517F" w:rsidP="00C8517F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E866" w14:textId="77777777" w:rsidR="00C8517F" w:rsidRPr="00627017" w:rsidRDefault="00C8517F" w:rsidP="00C8517F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6799" w14:textId="77777777" w:rsidR="00C8517F" w:rsidRPr="00627017" w:rsidRDefault="00C8517F" w:rsidP="00C8517F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4F452A8E" w14:textId="77777777" w:rsidR="00C8517F" w:rsidRPr="00627017" w:rsidRDefault="00C8517F" w:rsidP="00C8517F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C8517F" w:rsidRPr="00627017" w14:paraId="6925E492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7127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B26C" w14:textId="77777777" w:rsidR="00C8517F" w:rsidRPr="00627017" w:rsidRDefault="00C8517F" w:rsidP="00C8517F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13,957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9721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12,032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981D1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>-13.8%</w:t>
            </w:r>
          </w:p>
        </w:tc>
      </w:tr>
      <w:tr w:rsidR="00C8517F" w:rsidRPr="00627017" w14:paraId="20D69A6E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B756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5993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6,252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5A4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5,292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F7BB3B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>-15.4%</w:t>
            </w:r>
          </w:p>
        </w:tc>
      </w:tr>
      <w:tr w:rsidR="00C8517F" w:rsidRPr="00627017" w14:paraId="08331AD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3930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CE5C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2,039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9D28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1,726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7B338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>-15.4%</w:t>
            </w:r>
          </w:p>
        </w:tc>
      </w:tr>
      <w:tr w:rsidR="00C8517F" w:rsidRPr="00627017" w14:paraId="01256271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D6D1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E90E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1,440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71C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 1,281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A2DDD8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>-11.0%</w:t>
            </w:r>
          </w:p>
        </w:tc>
      </w:tr>
      <w:tr w:rsidR="00C8517F" w:rsidRPr="00627017" w14:paraId="7ED582E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4628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818" w14:textId="77777777" w:rsidR="00C8517F" w:rsidRPr="00627017" w:rsidRDefault="00C8517F" w:rsidP="00C8517F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23,688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052" w14:textId="77777777" w:rsidR="00C8517F" w:rsidRPr="00627017" w:rsidRDefault="00C8517F" w:rsidP="00C8517F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9F1C38">
              <w:t xml:space="preserve">20,331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A6083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1C38">
              <w:t>-14.2%</w:t>
            </w:r>
          </w:p>
        </w:tc>
      </w:tr>
      <w:tr w:rsidR="00C8517F" w:rsidRPr="00627017" w14:paraId="4FE54870" w14:textId="77777777" w:rsidTr="00C8517F">
        <w:trPr>
          <w:trHeight w:val="80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38A0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17F" w:rsidRPr="00627017" w14:paraId="317C5D1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C343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9B43" w14:textId="77777777" w:rsidR="00C8517F" w:rsidRPr="00627017" w:rsidRDefault="00C8517F" w:rsidP="00C8517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3,467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C1C7A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2,760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4492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>-20.4%</w:t>
            </w:r>
          </w:p>
        </w:tc>
      </w:tr>
      <w:tr w:rsidR="00C8517F" w:rsidRPr="00627017" w14:paraId="063DE67C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3E10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B073" w14:textId="77777777" w:rsidR="00C8517F" w:rsidRPr="00627017" w:rsidRDefault="00C8517F" w:rsidP="00C8517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2,477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607EDF0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2,018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93FF8F0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>-18.5%</w:t>
            </w:r>
          </w:p>
        </w:tc>
      </w:tr>
      <w:tr w:rsidR="00C8517F" w:rsidRPr="00627017" w14:paraId="27FAF1AB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C79D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9E16" w14:textId="77777777" w:rsidR="00C8517F" w:rsidRPr="00627017" w:rsidRDefault="00C8517F" w:rsidP="00C8517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1,993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299D8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1,790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C3DF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>-10.2%</w:t>
            </w:r>
          </w:p>
        </w:tc>
      </w:tr>
      <w:tr w:rsidR="00C8517F" w:rsidRPr="00627017" w14:paraId="588FB17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F4AD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C99" w14:textId="77777777" w:rsidR="00C8517F" w:rsidRPr="00627017" w:rsidRDefault="00C8517F" w:rsidP="00C8517F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31,625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B0B4B4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 xml:space="preserve"> 26,899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1111CEF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3E0E">
              <w:t>-14.9%</w:t>
            </w:r>
          </w:p>
        </w:tc>
      </w:tr>
      <w:tr w:rsidR="00C8517F" w:rsidRPr="00627017" w14:paraId="62A87094" w14:textId="77777777" w:rsidTr="00C8517F">
        <w:trPr>
          <w:trHeight w:val="288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4994" w14:textId="77777777" w:rsidR="00C8517F" w:rsidRPr="00627017" w:rsidRDefault="00C8517F" w:rsidP="00C8517F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17F" w:rsidRPr="00627017" w14:paraId="0FBFAE78" w14:textId="77777777" w:rsidTr="00C8517F">
        <w:trPr>
          <w:trHeight w:val="432"/>
        </w:trPr>
        <w:tc>
          <w:tcPr>
            <w:tcW w:w="4337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D858" w14:textId="77777777" w:rsidR="00C8517F" w:rsidRPr="00627017" w:rsidRDefault="00C8517F" w:rsidP="00C8517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December Listings</w:t>
            </w:r>
          </w:p>
        </w:tc>
      </w:tr>
      <w:tr w:rsidR="00C8517F" w:rsidRPr="00627017" w14:paraId="7361C13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E6DE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B21C" w14:textId="77777777" w:rsidR="00C8517F" w:rsidRPr="00627017" w:rsidRDefault="00C8517F" w:rsidP="00C8517F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0FE29F63" w14:textId="77777777" w:rsidR="00C8517F" w:rsidRPr="00627017" w:rsidRDefault="00C8517F" w:rsidP="00C8517F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40949D2" w14:textId="77777777" w:rsidR="00C8517F" w:rsidRPr="00627017" w:rsidRDefault="00C8517F" w:rsidP="00C8517F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C8517F" w:rsidRPr="00627017" w14:paraId="144EAA49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846D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0ADD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486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0557BC8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505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A7A63AD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3.9%</w:t>
            </w:r>
          </w:p>
        </w:tc>
      </w:tr>
      <w:tr w:rsidR="00C8517F" w:rsidRPr="00627017" w14:paraId="5BB9202D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5C1B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4A61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201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1C34B86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C3516D1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-6.0%</w:t>
            </w:r>
          </w:p>
        </w:tc>
      </w:tr>
      <w:tr w:rsidR="00C8517F" w:rsidRPr="00627017" w14:paraId="296F41A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3D6E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920E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46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0EE7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5C2CF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0.0%</w:t>
            </w:r>
          </w:p>
        </w:tc>
      </w:tr>
      <w:tr w:rsidR="00C8517F" w:rsidRPr="00627017" w14:paraId="50FF3087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CEA8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C9D7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79260987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3488ABC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3.0%</w:t>
            </w:r>
          </w:p>
        </w:tc>
      </w:tr>
      <w:tr w:rsidR="00C8517F" w:rsidRPr="00627017" w14:paraId="12951702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89E6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B1C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800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C072FE" w14:textId="77777777" w:rsidR="00C8517F" w:rsidRPr="00627017" w:rsidRDefault="00C8517F" w:rsidP="00C8517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809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8619A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1B33">
              <w:t>1.1%</w:t>
            </w:r>
          </w:p>
        </w:tc>
      </w:tr>
      <w:tr w:rsidR="00C8517F" w:rsidRPr="00627017" w14:paraId="2DE3568E" w14:textId="77777777" w:rsidTr="00C8517F">
        <w:trPr>
          <w:trHeight w:val="86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4D4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517F" w:rsidRPr="00627017" w14:paraId="1C573AB7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6413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E241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F97AC" w14:textId="77777777" w:rsidR="00C8517F" w:rsidRPr="00627017" w:rsidRDefault="00C8517F" w:rsidP="00C8517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AAD4D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-10.3%</w:t>
            </w:r>
          </w:p>
        </w:tc>
      </w:tr>
      <w:tr w:rsidR="00C8517F" w:rsidRPr="00627017" w14:paraId="64F8B02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4CDB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473F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78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0E7B25FD" w14:textId="77777777" w:rsidR="00C8517F" w:rsidRPr="00627017" w:rsidRDefault="00C8517F" w:rsidP="00C8517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56D162E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14.1%</w:t>
            </w:r>
          </w:p>
        </w:tc>
      </w:tr>
      <w:tr w:rsidR="00C8517F" w:rsidRPr="00627017" w14:paraId="4D06EFF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F43C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70A0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E60E7" w14:textId="77777777" w:rsidR="00C8517F" w:rsidRPr="00627017" w:rsidRDefault="00C8517F" w:rsidP="00C8517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28ED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16.4%</w:t>
            </w:r>
          </w:p>
        </w:tc>
      </w:tr>
      <w:tr w:rsidR="00C8517F" w:rsidRPr="00627017" w14:paraId="62E2F106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289B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9388" w14:textId="77777777" w:rsidR="00C8517F" w:rsidRPr="00627017" w:rsidRDefault="00C8517F" w:rsidP="00C8517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1,065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7FB9E5A" w14:textId="77777777" w:rsidR="00C8517F" w:rsidRPr="00627017" w:rsidRDefault="00C8517F" w:rsidP="00C8517F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1,082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AF6A348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32C2">
              <w:t>1.6%</w:t>
            </w:r>
          </w:p>
        </w:tc>
      </w:tr>
    </w:tbl>
    <w:p w14:paraId="34025AF5" w14:textId="77777777" w:rsidR="002920FB" w:rsidRDefault="002920FB" w:rsidP="00F84C72"/>
    <w:p w14:paraId="55F5EBB1" w14:textId="4282B78F" w:rsidR="00440264" w:rsidRDefault="00AC28D6" w:rsidP="00F84C72">
      <w:r>
        <w:t>Earlier in 2023 b</w:t>
      </w:r>
      <w:r w:rsidR="00306E84">
        <w:t xml:space="preserve">rokers </w:t>
      </w:r>
      <w:r>
        <w:t>were</w:t>
      </w:r>
      <w:r w:rsidR="00306E84">
        <w:t xml:space="preserve"> saying that current </w:t>
      </w:r>
      <w:r w:rsidR="00C434EA">
        <w:t xml:space="preserve">homeowners </w:t>
      </w:r>
      <w:r w:rsidR="00306E84">
        <w:t xml:space="preserve">who </w:t>
      </w:r>
      <w:r w:rsidR="00C434EA">
        <w:t>ha</w:t>
      </w:r>
      <w:r>
        <w:t>d</w:t>
      </w:r>
      <w:r w:rsidR="00C434EA">
        <w:t xml:space="preserve"> low mortgage interest rates</w:t>
      </w:r>
      <w:r w:rsidR="00306E84">
        <w:t xml:space="preserve"> </w:t>
      </w:r>
      <w:r>
        <w:t>we</w:t>
      </w:r>
      <w:r w:rsidR="00306E84">
        <w:t>re skittish about listing their home if they would have to take out another mortgage, at a higher interest rate.</w:t>
      </w:r>
      <w:r w:rsidR="007B4513">
        <w:t xml:space="preserve"> </w:t>
      </w:r>
      <w:r>
        <w:t xml:space="preserve">However, </w:t>
      </w:r>
      <w:r w:rsidR="00C8517F">
        <w:t>many homeowners realize that the days of 3% rates are probably gone and are getting into the market with refinancing in the back of their mind.</w:t>
      </w:r>
    </w:p>
    <w:p w14:paraId="33FD3CBE" w14:textId="77777777" w:rsidR="007A5A12" w:rsidRDefault="007A5A12" w:rsidP="00F84C72"/>
    <w:p w14:paraId="550827F1" w14:textId="77777777" w:rsidR="00E65D35" w:rsidRDefault="00C8517F" w:rsidP="003244DA">
      <w:pPr>
        <w:ind w:right="-180"/>
      </w:pPr>
      <w:r>
        <w:t xml:space="preserve">Nonetheless </w:t>
      </w:r>
      <w:r w:rsidR="003244DA">
        <w:t>– as we have been highlighting for several years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a very difficult time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2070D722" w14:textId="77777777" w:rsidR="00E65D35" w:rsidRDefault="00E65D35" w:rsidP="003244DA">
      <w:pPr>
        <w:ind w:right="-180"/>
      </w:pPr>
    </w:p>
    <w:p w14:paraId="5C5423A4" w14:textId="36F17C7B" w:rsidR="003244DA" w:rsidRDefault="00E65D35" w:rsidP="003244DA">
      <w:pPr>
        <w:ind w:right="-180"/>
      </w:pPr>
      <w:r w:rsidRPr="00E65D35">
        <w:t>The historically low level of new construction and lack of new listings resulted in prices increasing 5.9%, or $22,589. Pushing the</w:t>
      </w:r>
      <w:r>
        <w:t xml:space="preserve"> average sale price in the 4 county area over $400,000 for the first time.</w:t>
      </w:r>
    </w:p>
    <w:p w14:paraId="47D8F696" w14:textId="77777777" w:rsidR="00E65D35" w:rsidRDefault="00E65D35" w:rsidP="003244DA">
      <w:pPr>
        <w:ind w:right="-180"/>
      </w:pPr>
    </w:p>
    <w:tbl>
      <w:tblPr>
        <w:tblpPr w:leftFromText="187" w:rightFromText="360" w:topFromText="202" w:bottomFromText="288" w:vertAnchor="text" w:horzAnchor="margin" w:tblpY="2007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898"/>
        <w:gridCol w:w="94"/>
      </w:tblGrid>
      <w:tr w:rsidR="00C8517F" w:rsidRPr="00DE1D23" w14:paraId="46638E87" w14:textId="77777777" w:rsidTr="00C8517F">
        <w:trPr>
          <w:gridAfter w:val="1"/>
          <w:wAfter w:w="94" w:type="dxa"/>
          <w:trHeight w:val="360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F0DD39" w14:textId="77777777" w:rsidR="00C8517F" w:rsidRPr="00430E07" w:rsidRDefault="00C8517F" w:rsidP="00C8517F">
            <w:pPr>
              <w:spacing w:line="252" w:lineRule="auto"/>
              <w:ind w:right="85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430E07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DE1D2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DE1D2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(Jan 1 –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Dec 31</w:t>
            </w:r>
            <w:r w:rsidRPr="00DE1D23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</w:tr>
      <w:tr w:rsidR="00C8517F" w:rsidRPr="00DE1D23" w14:paraId="3A0A4B2D" w14:textId="77777777" w:rsidTr="00C8517F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45F9B12" w14:textId="77777777" w:rsidR="00C8517F" w:rsidRPr="00DE1D23" w:rsidRDefault="00C8517F" w:rsidP="00C8517F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ED10" w14:textId="77777777" w:rsidR="00C8517F" w:rsidRPr="00DE1D23" w:rsidRDefault="00C8517F" w:rsidP="00C8517F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4B76" w14:textId="77777777" w:rsidR="00C8517F" w:rsidRPr="00DE1D23" w:rsidRDefault="00C8517F" w:rsidP="00C8517F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1EEE71B" w14:textId="77777777" w:rsidR="00C8517F" w:rsidRPr="00DE1D23" w:rsidRDefault="00C8517F" w:rsidP="00C8517F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524A63E" w14:textId="77777777" w:rsidR="00C8517F" w:rsidRPr="00DE1D23" w:rsidRDefault="00C8517F" w:rsidP="00C8517F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C8517F" w:rsidRPr="00DE1D23" w14:paraId="54F69C70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CF18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AC13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86297">
              <w:t xml:space="preserve"> $258,281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4560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$271,609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19B6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82ED5">
              <w:t xml:space="preserve"> $13,328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250E8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573C2">
              <w:t>5.2%</w:t>
            </w:r>
          </w:p>
        </w:tc>
      </w:tr>
      <w:tr w:rsidR="00C8517F" w:rsidRPr="00DE1D23" w14:paraId="185D14D3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4B75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8805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86297">
              <w:t xml:space="preserve"> $478,503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EA5B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$501,553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CE063EC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82ED5">
              <w:t xml:space="preserve"> $23,050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7663DC9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573C2">
              <w:t>4.8%</w:t>
            </w:r>
          </w:p>
        </w:tc>
      </w:tr>
      <w:tr w:rsidR="00C8517F" w:rsidRPr="00DE1D23" w14:paraId="779F7BDA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9D19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95A2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86297">
              <w:t xml:space="preserve"> $475,748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419E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$503,122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151A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82ED5">
              <w:t xml:space="preserve"> $27,374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63F4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573C2">
              <w:t>5.75%</w:t>
            </w:r>
          </w:p>
        </w:tc>
      </w:tr>
      <w:tr w:rsidR="00C8517F" w:rsidRPr="00DE1D23" w14:paraId="0E0DCDE8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4FE9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5EE9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86297">
              <w:t xml:space="preserve"> $365,238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CC23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$394,917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D463D18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82ED5">
              <w:t xml:space="preserve"> $29,679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A2AE84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573C2">
              <w:t>8.1%</w:t>
            </w:r>
          </w:p>
        </w:tc>
      </w:tr>
      <w:tr w:rsidR="00C8517F" w:rsidRPr="00DE1D23" w14:paraId="3445F6AF" w14:textId="77777777" w:rsidTr="004F2090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E97D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40B2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986297">
              <w:t xml:space="preserve"> $394,443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AFCD" w14:textId="77777777" w:rsidR="00C8517F" w:rsidRPr="004F2090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4F2090">
              <w:rPr>
                <w:rFonts w:eastAsia="Calibri" w:cs="Arial"/>
                <w:b/>
                <w:bCs/>
                <w:szCs w:val="21"/>
              </w:rPr>
              <w:t>$417,800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1BB9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D82ED5">
              <w:t xml:space="preserve"> $23,358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55049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573C2">
              <w:t>5.9%</w:t>
            </w:r>
          </w:p>
        </w:tc>
      </w:tr>
      <w:tr w:rsidR="00C8517F" w:rsidRPr="00DE1D23" w14:paraId="7D8225A5" w14:textId="77777777" w:rsidTr="00C8517F">
        <w:trPr>
          <w:trHeight w:val="90"/>
        </w:trPr>
        <w:tc>
          <w:tcPr>
            <w:tcW w:w="6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5C48" w14:textId="77777777" w:rsidR="00C8517F" w:rsidRPr="00430E07" w:rsidRDefault="00C8517F" w:rsidP="00C8517F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C8517F" w:rsidRPr="00DE1D23" w14:paraId="170E8C28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35F0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E991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B00BAC">
              <w:t xml:space="preserve"> $276,282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2E0D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$284,715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C826A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31FD">
              <w:t xml:space="preserve"> $8,433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3E03E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2162D">
              <w:t>3.1%</w:t>
            </w:r>
          </w:p>
        </w:tc>
      </w:tr>
      <w:tr w:rsidR="00C8517F" w:rsidRPr="00DE1D23" w14:paraId="60EED85F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A816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0766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B00BAC">
              <w:t xml:space="preserve"> $298,306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7865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$313,810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1339833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31FD">
              <w:t xml:space="preserve"> $15,504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362D0BD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2162D">
              <w:t>5.2%</w:t>
            </w:r>
          </w:p>
        </w:tc>
      </w:tr>
      <w:tr w:rsidR="00C8517F" w:rsidRPr="00DE1D23" w14:paraId="64F2AA34" w14:textId="77777777" w:rsidTr="00C8517F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9C10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ECB4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B00BAC">
              <w:t xml:space="preserve"> $467,335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7587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szCs w:val="21"/>
              </w:rPr>
              <w:t xml:space="preserve"> $546,126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CA877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31FD">
              <w:t xml:space="preserve"> $78,791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7B0B3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2162D">
              <w:t>16.9%</w:t>
            </w:r>
          </w:p>
        </w:tc>
      </w:tr>
      <w:tr w:rsidR="00C8517F" w:rsidRPr="00DE1D23" w14:paraId="22BC556C" w14:textId="77777777" w:rsidTr="00C8517F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6B4D" w14:textId="77777777" w:rsidR="00C8517F" w:rsidRPr="00DE1D23" w:rsidRDefault="00C8517F" w:rsidP="00C8517F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3DB7" w14:textId="77777777" w:rsidR="00C8517F" w:rsidRPr="00DE1D23" w:rsidRDefault="00C8517F" w:rsidP="00C8517F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B00BAC">
              <w:t xml:space="preserve"> $374,242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8007" w14:textId="77777777" w:rsidR="00C8517F" w:rsidRPr="00430E07" w:rsidRDefault="00C8517F" w:rsidP="00C8517F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430E07">
              <w:rPr>
                <w:rFonts w:eastAsia="Calibri" w:cs="Arial"/>
                <w:szCs w:val="21"/>
              </w:rPr>
              <w:t>$402,265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1971A0" w14:textId="77777777" w:rsidR="00C8517F" w:rsidRPr="00DE1D23" w:rsidRDefault="00C8517F" w:rsidP="00C8517F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31FD">
              <w:t xml:space="preserve"> $28,023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128BBE0" w14:textId="77777777" w:rsidR="00C8517F" w:rsidRPr="00DE1D23" w:rsidRDefault="00C8517F" w:rsidP="00C8517F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2162D">
              <w:t>7.5%</w:t>
            </w:r>
          </w:p>
        </w:tc>
      </w:tr>
    </w:tbl>
    <w:p w14:paraId="4E012A29" w14:textId="2CD01129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0D8213" w14:textId="77777777" w:rsidR="003244DA" w:rsidRDefault="003244DA" w:rsidP="003244DA"/>
    <w:p w14:paraId="55A63DCC" w14:textId="77777777" w:rsidR="003244DA" w:rsidRDefault="003244DA" w:rsidP="003244DA">
      <w:pPr>
        <w:pStyle w:val="ParagraphIntro"/>
      </w:pPr>
    </w:p>
    <w:p w14:paraId="659DA907" w14:textId="77777777" w:rsidR="003244DA" w:rsidRDefault="003244DA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3A6FA2E2" w:rsidR="00722A43" w:rsidRDefault="00E65D35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7C88966" wp14:editId="134BEAF8">
            <wp:extent cx="5486400" cy="3200400"/>
            <wp:effectExtent l="0" t="0" r="0" b="0"/>
            <wp:docPr id="11053094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1481B77A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E65D35">
        <w:rPr>
          <w:rStyle w:val="NormalCalloutText"/>
        </w:rPr>
        <w:t>December</w:t>
      </w:r>
      <w:r w:rsidR="0060287B" w:rsidRPr="00F84C72">
        <w:rPr>
          <w:rStyle w:val="NormalCalloutText"/>
        </w:rPr>
        <w:t xml:space="preserve"> was </w:t>
      </w:r>
      <w:r w:rsidR="00E65D35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E65D35">
        <w:rPr>
          <w:rStyle w:val="NormalCalloutText"/>
        </w:rPr>
        <w:t>3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2,344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</w:t>
      </w:r>
      <w:r w:rsidR="00E65D35">
        <w:rPr>
          <w:rStyle w:val="NormalCalloutText"/>
        </w:rPr>
        <w:t>1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FE033A4" w:rsidR="00FE2AA3" w:rsidRDefault="00E65D35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1729FCE3" wp14:editId="40D74FEE">
            <wp:extent cx="5486400" cy="2971800"/>
            <wp:effectExtent l="0" t="0" r="0" b="0"/>
            <wp:docPr id="10525006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379445BF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E65D35" w:rsidRPr="00E65D35">
        <w:t>3</w:t>
      </w:r>
      <w:r w:rsidRPr="00E65D35">
        <w:t>,</w:t>
      </w:r>
      <w:r w:rsidR="00E65D35" w:rsidRPr="00E65D35">
        <w:t>079</w:t>
      </w:r>
      <w:r w:rsidRPr="00E65D35">
        <w:t xml:space="preserve"> current listings providing </w:t>
      </w:r>
      <w:r w:rsidR="00E65D35" w:rsidRPr="00E65D35">
        <w:t>2.3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E65D35">
        <w:rPr>
          <w:rStyle w:val="NormalCalloutText"/>
        </w:rPr>
        <w:t>5</w:t>
      </w:r>
      <w:r w:rsidRPr="00F84C72">
        <w:rPr>
          <w:rStyle w:val="NormalCalloutText"/>
        </w:rPr>
        <w:t>,</w:t>
      </w:r>
      <w:r w:rsidR="00E65D35">
        <w:rPr>
          <w:rStyle w:val="NormalCalloutText"/>
        </w:rPr>
        <w:t>1</w:t>
      </w:r>
      <w:r w:rsidR="00F51A3F">
        <w:rPr>
          <w:rStyle w:val="NormalCalloutText"/>
        </w:rPr>
        <w:t>0</w:t>
      </w:r>
      <w:r w:rsidR="002920FB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74BA9F2B" w:rsidR="00A5422D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DF427E7" wp14:editId="625ED44B">
            <wp:extent cx="5943600" cy="3657600"/>
            <wp:effectExtent l="0" t="0" r="0" b="0"/>
            <wp:docPr id="4674535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3B270DE6" w:rsidR="006146B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44D0320" wp14:editId="32845F65">
            <wp:extent cx="5943600" cy="3657600"/>
            <wp:effectExtent l="0" t="0" r="0" b="0"/>
            <wp:docPr id="168243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F96577-B460-4F20-B719-714CC5F700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1ED3A4D7" w:rsidR="006146B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A74CEF" wp14:editId="7A928F60">
            <wp:extent cx="5943600" cy="3657600"/>
            <wp:effectExtent l="0" t="0" r="0" b="0"/>
            <wp:docPr id="12048604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C95342-14E7-4786-B8EA-B435FD98FF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20AA5D0" w14:textId="6D87D308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D32AA0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0EB7DC23" w14:textId="15BE4E6B" w:rsidR="006146B0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A7CA0E2" wp14:editId="37812C05">
            <wp:extent cx="5943600" cy="3657600"/>
            <wp:effectExtent l="0" t="0" r="0" b="0"/>
            <wp:docPr id="3231982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815FD6-83CC-488E-B25C-C24293664E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9EAE55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54E5F232" w14:textId="0017081B" w:rsidR="006146B0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3318CAB" wp14:editId="16035866">
            <wp:extent cx="5943600" cy="3657600"/>
            <wp:effectExtent l="0" t="0" r="0" b="0"/>
            <wp:docPr id="14357923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E2D2AB-EC18-41B9-B6F3-F449A1AB3C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F3DB9CD" w14:textId="4E0D982E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38B992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7A940B14" w14:textId="7892A108" w:rsidR="006146B0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80759AD" wp14:editId="6F471A06">
            <wp:extent cx="5943600" cy="3657600"/>
            <wp:effectExtent l="0" t="0" r="0" b="0"/>
            <wp:docPr id="13086744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CDE27DE-8BB9-4570-8DC8-838AF2A55F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3ECFD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6146B0" w:rsidSect="00A542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2145</c:v>
                </c:pt>
                <c:pt idx="1">
                  <c:v>1778</c:v>
                </c:pt>
                <c:pt idx="2">
                  <c:v>1733</c:v>
                </c:pt>
                <c:pt idx="3">
                  <c:v>1808</c:v>
                </c:pt>
                <c:pt idx="4">
                  <c:v>1819</c:v>
                </c:pt>
                <c:pt idx="5">
                  <c:v>1918</c:v>
                </c:pt>
                <c:pt idx="6">
                  <c:v>2277</c:v>
                </c:pt>
                <c:pt idx="7">
                  <c:v>2295</c:v>
                </c:pt>
                <c:pt idx="8">
                  <c:v>2762</c:v>
                </c:pt>
                <c:pt idx="9">
                  <c:v>2816</c:v>
                </c:pt>
                <c:pt idx="10">
                  <c:v>3054</c:v>
                </c:pt>
                <c:pt idx="11">
                  <c:v>2792</c:v>
                </c:pt>
                <c:pt idx="12">
                  <c:v>2275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D-4271-A6F0-19E5399EE781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781</c:v>
                </c:pt>
                <c:pt idx="1">
                  <c:v>1025</c:v>
                </c:pt>
                <c:pt idx="2">
                  <c:v>999</c:v>
                </c:pt>
                <c:pt idx="3">
                  <c:v>1203</c:v>
                </c:pt>
                <c:pt idx="4">
                  <c:v>1427</c:v>
                </c:pt>
                <c:pt idx="5">
                  <c:v>1557</c:v>
                </c:pt>
                <c:pt idx="6">
                  <c:v>1537</c:v>
                </c:pt>
                <c:pt idx="7">
                  <c:v>1519</c:v>
                </c:pt>
                <c:pt idx="8">
                  <c:v>1421</c:v>
                </c:pt>
                <c:pt idx="9">
                  <c:v>1424</c:v>
                </c:pt>
                <c:pt idx="10">
                  <c:v>1178</c:v>
                </c:pt>
                <c:pt idx="11">
                  <c:v>971</c:v>
                </c:pt>
                <c:pt idx="12">
                  <c:v>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9D-4271-A6F0-19E5399EE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1.7</c:v>
                </c:pt>
                <c:pt idx="1">
                  <c:v>1.7</c:v>
                </c:pt>
                <c:pt idx="2">
                  <c:v>1.7</c:v>
                </c:pt>
                <c:pt idx="3">
                  <c:v>1.9</c:v>
                </c:pt>
                <c:pt idx="4">
                  <c:v>2.1</c:v>
                </c:pt>
                <c:pt idx="5">
                  <c:v>2.2999999999999998</c:v>
                </c:pt>
                <c:pt idx="6">
                  <c:v>2.6</c:v>
                </c:pt>
                <c:pt idx="7">
                  <c:v>2.6</c:v>
                </c:pt>
                <c:pt idx="8">
                  <c:v>2.9</c:v>
                </c:pt>
                <c:pt idx="9">
                  <c:v>3.1</c:v>
                </c:pt>
                <c:pt idx="10">
                  <c:v>3.1</c:v>
                </c:pt>
                <c:pt idx="11">
                  <c:v>2.8</c:v>
                </c:pt>
                <c:pt idx="12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9D-4271-A6F0-19E5399EE781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Dec</c:v>
                </c:pt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</c:v>
                </c:pt>
                <c:pt idx="7">
                  <c:v>Jul</c:v>
                </c:pt>
                <c:pt idx="8">
                  <c:v>Aug</c:v>
                </c:pt>
                <c:pt idx="9">
                  <c:v>Sept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'Monthly Stats Data'!$B$122:$N$122</c:f>
              <c:numCache>
                <c:formatCode>_(* #,##0.0_);_(* \(#,##0.0\);_(* "-"??_);_(@_)</c:formatCode>
                <c:ptCount val="13"/>
                <c:pt idx="0">
                  <c:v>0.8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0.8</c:v>
                </c:pt>
                <c:pt idx="6">
                  <c:v>1</c:v>
                </c:pt>
                <c:pt idx="7">
                  <c:v>1.1000000000000001</c:v>
                </c:pt>
                <c:pt idx="8">
                  <c:v>1.4</c:v>
                </c:pt>
                <c:pt idx="9">
                  <c:v>1.4</c:v>
                </c:pt>
                <c:pt idx="10">
                  <c:v>1.6</c:v>
                </c:pt>
                <c:pt idx="11">
                  <c:v>1.4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9D-4271-A6F0-19E5399EE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Data'!$Q$126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Data'!$P$139:$P$150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Data'!$Q$139:$Q$150</c:f>
              <c:numCache>
                <c:formatCode>_(* #,##0_);_(* \(#,##0\);_(* "-"??_);_(@_)</c:formatCode>
                <c:ptCount val="12"/>
                <c:pt idx="0">
                  <c:v>2803</c:v>
                </c:pt>
                <c:pt idx="1">
                  <c:v>2732</c:v>
                </c:pt>
                <c:pt idx="2">
                  <c:v>3011</c:v>
                </c:pt>
                <c:pt idx="3">
                  <c:v>3246</c:v>
                </c:pt>
                <c:pt idx="4">
                  <c:v>3475</c:v>
                </c:pt>
                <c:pt idx="5">
                  <c:v>3814</c:v>
                </c:pt>
                <c:pt idx="6">
                  <c:v>3814</c:v>
                </c:pt>
                <c:pt idx="7">
                  <c:v>4183</c:v>
                </c:pt>
                <c:pt idx="8">
                  <c:v>4240</c:v>
                </c:pt>
                <c:pt idx="9">
                  <c:v>4232</c:v>
                </c:pt>
                <c:pt idx="10">
                  <c:v>3763</c:v>
                </c:pt>
                <c:pt idx="11">
                  <c:v>3079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00-42E8-94D5-16FFC31AB62C}"/>
            </c:ext>
          </c:extLst>
        </c:ser>
        <c:ser>
          <c:idx val="3"/>
          <c:order val="1"/>
          <c:tx>
            <c:strRef>
              <c:f>'Monthly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Data'!$P$139:$P$150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'Monthly Stats Data'!$T$139:$T$150</c:f>
              <c:numCache>
                <c:formatCode>_(* #,##0_);_(* \(#,##0\);_(* "-"??_);_(@_)</c:formatCode>
                <c:ptCount val="12"/>
                <c:pt idx="0">
                  <c:v>7150</c:v>
                </c:pt>
                <c:pt idx="1">
                  <c:v>7025</c:v>
                </c:pt>
                <c:pt idx="2">
                  <c:v>6630</c:v>
                </c:pt>
                <c:pt idx="3">
                  <c:v>6150</c:v>
                </c:pt>
                <c:pt idx="4">
                  <c:v>5700</c:v>
                </c:pt>
                <c:pt idx="5">
                  <c:v>5150</c:v>
                </c:pt>
                <c:pt idx="6">
                  <c:v>4900</c:v>
                </c:pt>
                <c:pt idx="7">
                  <c:v>4340</c:v>
                </c:pt>
                <c:pt idx="8">
                  <c:v>4090</c:v>
                </c:pt>
                <c:pt idx="9">
                  <c:v>3925</c:v>
                </c:pt>
                <c:pt idx="10">
                  <c:v>4425</c:v>
                </c:pt>
                <c:pt idx="11">
                  <c:v>5100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00-42E8-94D5-16FFC31AB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4</a:t>
            </a: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County Sale Price - 2023</a:t>
            </a:r>
            <a:endParaRPr lang="en-US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88636609504889"/>
          <c:y val="0.16243803089282413"/>
          <c:w val="0.83028939638573696"/>
          <c:h val="0.677912720461047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'4th QTR County Data'!$E$164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'4th QTR County Data'!$B$179:$B$202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Data'!$E$179:$E$202</c:f>
              <c:numCache>
                <c:formatCode>_("$"* #,##0_);_("$"* \(#,##0\);_("$"* "-"??_);_(@_)</c:formatCode>
                <c:ptCount val="24"/>
                <c:pt idx="0">
                  <c:v>181287.5</c:v>
                </c:pt>
                <c:pt idx="1">
                  <c:v>187931</c:v>
                </c:pt>
                <c:pt idx="2">
                  <c:v>205944.5</c:v>
                </c:pt>
                <c:pt idx="3">
                  <c:v>216532</c:v>
                </c:pt>
                <c:pt idx="4">
                  <c:v>237872.5</c:v>
                </c:pt>
                <c:pt idx="5">
                  <c:v>248510</c:v>
                </c:pt>
                <c:pt idx="6">
                  <c:v>257130.75</c:v>
                </c:pt>
                <c:pt idx="7">
                  <c:v>261279.75</c:v>
                </c:pt>
                <c:pt idx="8">
                  <c:v>246983.25</c:v>
                </c:pt>
                <c:pt idx="9">
                  <c:v>222295.25</c:v>
                </c:pt>
                <c:pt idx="10">
                  <c:v>226301.25</c:v>
                </c:pt>
                <c:pt idx="11">
                  <c:v>214727.25</c:v>
                </c:pt>
                <c:pt idx="12">
                  <c:v>211151.5</c:v>
                </c:pt>
                <c:pt idx="13">
                  <c:v>225668.25</c:v>
                </c:pt>
                <c:pt idx="14">
                  <c:v>230677.25</c:v>
                </c:pt>
                <c:pt idx="15">
                  <c:v>243028.75</c:v>
                </c:pt>
                <c:pt idx="16">
                  <c:v>252629.75</c:v>
                </c:pt>
                <c:pt idx="17">
                  <c:v>266303.5</c:v>
                </c:pt>
                <c:pt idx="18">
                  <c:v>283048</c:v>
                </c:pt>
                <c:pt idx="19">
                  <c:v>304537.25</c:v>
                </c:pt>
                <c:pt idx="20">
                  <c:v>325308.75</c:v>
                </c:pt>
                <c:pt idx="21">
                  <c:v>361966.25</c:v>
                </c:pt>
                <c:pt idx="22">
                  <c:v>394442.5</c:v>
                </c:pt>
                <c:pt idx="23">
                  <c:v>417800.25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4-4A37-864D-D7895CFC83A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00"/>
        <c:axId val="510562616"/>
        <c:axId val="510563008"/>
      </c:barChart>
      <c:catAx>
        <c:axId val="51056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3008"/>
        <c:crosses val="autoZero"/>
        <c:auto val="1"/>
        <c:lblAlgn val="ctr"/>
        <c:lblOffset val="100"/>
        <c:noMultiLvlLbl val="0"/>
      </c:catAx>
      <c:valAx>
        <c:axId val="51056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2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Unit Sales - 2023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chemeClr val="bg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Data'!$B$179:$B$202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Data'!$C$179:$C$202</c:f>
              <c:numCache>
                <c:formatCode>_(* #,##0_);_(* \(#,##0\);_(* "-"??_);_(@_)</c:formatCode>
                <c:ptCount val="24"/>
                <c:pt idx="0">
                  <c:v>16311</c:v>
                </c:pt>
                <c:pt idx="1">
                  <c:v>17326</c:v>
                </c:pt>
                <c:pt idx="2">
                  <c:v>18479</c:v>
                </c:pt>
                <c:pt idx="3">
                  <c:v>19359</c:v>
                </c:pt>
                <c:pt idx="4">
                  <c:v>20427</c:v>
                </c:pt>
                <c:pt idx="5">
                  <c:v>21642</c:v>
                </c:pt>
                <c:pt idx="6">
                  <c:v>20071</c:v>
                </c:pt>
                <c:pt idx="7">
                  <c:v>17231</c:v>
                </c:pt>
                <c:pt idx="8">
                  <c:v>14119</c:v>
                </c:pt>
                <c:pt idx="9">
                  <c:v>13853</c:v>
                </c:pt>
                <c:pt idx="10">
                  <c:v>12865</c:v>
                </c:pt>
                <c:pt idx="11">
                  <c:v>13278</c:v>
                </c:pt>
                <c:pt idx="12">
                  <c:v>16579</c:v>
                </c:pt>
                <c:pt idx="13">
                  <c:v>18203</c:v>
                </c:pt>
                <c:pt idx="14">
                  <c:v>17749</c:v>
                </c:pt>
                <c:pt idx="15">
                  <c:v>19611</c:v>
                </c:pt>
                <c:pt idx="16">
                  <c:v>21006</c:v>
                </c:pt>
                <c:pt idx="17">
                  <c:v>21357</c:v>
                </c:pt>
                <c:pt idx="18">
                  <c:v>21061</c:v>
                </c:pt>
                <c:pt idx="19">
                  <c:v>21133</c:v>
                </c:pt>
                <c:pt idx="20">
                  <c:v>22445</c:v>
                </c:pt>
                <c:pt idx="21">
                  <c:v>23827</c:v>
                </c:pt>
                <c:pt idx="22">
                  <c:v>20368</c:v>
                </c:pt>
                <c:pt idx="23">
                  <c:v>16586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CC-4983-B6F4-9F668568C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231584"/>
        <c:axId val="1845232000"/>
      </c:lineChart>
      <c:catAx>
        <c:axId val="184523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845232000"/>
        <c:crosses val="autoZero"/>
        <c:auto val="1"/>
        <c:lblAlgn val="ctr"/>
        <c:lblOffset val="100"/>
        <c:noMultiLvlLbl val="0"/>
      </c:catAx>
      <c:valAx>
        <c:axId val="1845232000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845231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Listings - 2023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'4th QTR County Data'!$I$164</c:f>
              <c:strCache>
                <c:ptCount val="1"/>
                <c:pt idx="0">
                  <c:v>Number of Units Listed</c:v>
                </c:pt>
              </c:strCache>
            </c:strRef>
          </c:tx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chemeClr val="accent1">
                    <a:lumMod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FEE-45A8-B632-3B50FCA6789C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chemeClr val="accent1">
                    <a:lumMod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FEE-45A8-B632-3B50FCA678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Data'!$B$179:$B$202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Data'!$I$179:$I$202</c:f>
              <c:numCache>
                <c:formatCode>_(* #,##0_);_(* \(#,##0\);_(* "-"??_);_(@_)</c:formatCode>
                <c:ptCount val="24"/>
                <c:pt idx="0">
                  <c:v>22481</c:v>
                </c:pt>
                <c:pt idx="1">
                  <c:v>24777</c:v>
                </c:pt>
                <c:pt idx="2">
                  <c:v>24707</c:v>
                </c:pt>
                <c:pt idx="3">
                  <c:v>25518</c:v>
                </c:pt>
                <c:pt idx="4">
                  <c:v>28931</c:v>
                </c:pt>
                <c:pt idx="5">
                  <c:v>34932</c:v>
                </c:pt>
                <c:pt idx="6">
                  <c:v>39908</c:v>
                </c:pt>
                <c:pt idx="7">
                  <c:v>39731</c:v>
                </c:pt>
                <c:pt idx="8">
                  <c:v>34382</c:v>
                </c:pt>
                <c:pt idx="9">
                  <c:v>31560</c:v>
                </c:pt>
                <c:pt idx="10">
                  <c:v>30435</c:v>
                </c:pt>
                <c:pt idx="11">
                  <c:v>27334</c:v>
                </c:pt>
                <c:pt idx="12">
                  <c:v>26556</c:v>
                </c:pt>
                <c:pt idx="13">
                  <c:v>27028</c:v>
                </c:pt>
                <c:pt idx="14">
                  <c:v>28052</c:v>
                </c:pt>
                <c:pt idx="15">
                  <c:v>28181</c:v>
                </c:pt>
                <c:pt idx="16">
                  <c:v>27149</c:v>
                </c:pt>
                <c:pt idx="17">
                  <c:v>27491</c:v>
                </c:pt>
                <c:pt idx="18">
                  <c:v>26480</c:v>
                </c:pt>
                <c:pt idx="19">
                  <c:v>26629</c:v>
                </c:pt>
                <c:pt idx="20">
                  <c:v>26068</c:v>
                </c:pt>
                <c:pt idx="21">
                  <c:v>27637</c:v>
                </c:pt>
                <c:pt idx="22">
                  <c:v>23688</c:v>
                </c:pt>
                <c:pt idx="23">
                  <c:v>20331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FEE-45A8-B632-3B50FCA67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/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7 County Sale Price - 2023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188636609504889"/>
          <c:y val="0.16243803089282413"/>
          <c:w val="0.81266451266545536"/>
          <c:h val="0.677912720461047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'4th QTR County Data'!$E$296</c:f>
              <c:strCache>
                <c:ptCount val="1"/>
                <c:pt idx="0">
                  <c:v>Avg Sale Price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'4th QTR County Data'!$B$298:$B$321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Data'!$E$298:$E$321</c:f>
              <c:numCache>
                <c:formatCode>_("$"* #,##0_);_("$"* \(#,##0\);_("$"* "-"??_);_(@_)</c:formatCode>
                <c:ptCount val="24"/>
                <c:pt idx="0">
                  <c:v>165814.14285714287</c:v>
                </c:pt>
                <c:pt idx="1">
                  <c:v>174522.28571428571</c:v>
                </c:pt>
                <c:pt idx="2">
                  <c:v>188117.71428571429</c:v>
                </c:pt>
                <c:pt idx="3">
                  <c:v>198969.28571428571</c:v>
                </c:pt>
                <c:pt idx="4">
                  <c:v>219760.42857142858</c:v>
                </c:pt>
                <c:pt idx="5">
                  <c:v>234400.85714285713</c:v>
                </c:pt>
                <c:pt idx="6">
                  <c:v>243372.14285714287</c:v>
                </c:pt>
                <c:pt idx="7">
                  <c:v>247233.28571428571</c:v>
                </c:pt>
                <c:pt idx="8">
                  <c:v>233756</c:v>
                </c:pt>
                <c:pt idx="9">
                  <c:v>205254.71428571429</c:v>
                </c:pt>
                <c:pt idx="10">
                  <c:v>208391.28571428571</c:v>
                </c:pt>
                <c:pt idx="11">
                  <c:v>193233.57142857142</c:v>
                </c:pt>
                <c:pt idx="12">
                  <c:v>193409.42857142858</c:v>
                </c:pt>
                <c:pt idx="13">
                  <c:v>201986.42857142858</c:v>
                </c:pt>
                <c:pt idx="14">
                  <c:v>211524.85714285713</c:v>
                </c:pt>
                <c:pt idx="15">
                  <c:v>222549.14285714287</c:v>
                </c:pt>
                <c:pt idx="16">
                  <c:v>232299.71428571429</c:v>
                </c:pt>
                <c:pt idx="17">
                  <c:v>247381.14285714287</c:v>
                </c:pt>
                <c:pt idx="18">
                  <c:v>264087.28571428574</c:v>
                </c:pt>
                <c:pt idx="19">
                  <c:v>281515.14285714284</c:v>
                </c:pt>
                <c:pt idx="20">
                  <c:v>308494</c:v>
                </c:pt>
                <c:pt idx="21">
                  <c:v>343454.57142857142</c:v>
                </c:pt>
                <c:pt idx="22">
                  <c:v>374241.85714285716</c:v>
                </c:pt>
                <c:pt idx="23">
                  <c:v>402264.57142857142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B6-4BBC-8984-EDFA65C75B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00"/>
        <c:axId val="510562616"/>
        <c:axId val="510563008"/>
      </c:barChart>
      <c:catAx>
        <c:axId val="51056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3008"/>
        <c:crosses val="autoZero"/>
        <c:auto val="1"/>
        <c:lblAlgn val="ctr"/>
        <c:lblOffset val="100"/>
        <c:noMultiLvlLbl val="0"/>
      </c:catAx>
      <c:valAx>
        <c:axId val="51056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510562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2"/>
            <c:spPr>
              <a:solidFill>
                <a:schemeClr val="bg1"/>
              </a:solidFill>
              <a:ln w="31750">
                <a:solidFill>
                  <a:schemeClr val="bg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Data'!$B$298:$B$321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Data'!$C$298:$C$321</c:f>
              <c:numCache>
                <c:formatCode>_(* #,##0_);_(* \(#,##0\);_(* "-"??_);_(@_)</c:formatCode>
                <c:ptCount val="24"/>
                <c:pt idx="0">
                  <c:v>22015</c:v>
                </c:pt>
                <c:pt idx="1">
                  <c:v>23214</c:v>
                </c:pt>
                <c:pt idx="2">
                  <c:v>25057</c:v>
                </c:pt>
                <c:pt idx="3">
                  <c:v>26172</c:v>
                </c:pt>
                <c:pt idx="4">
                  <c:v>27924</c:v>
                </c:pt>
                <c:pt idx="5">
                  <c:v>29254</c:v>
                </c:pt>
                <c:pt idx="6">
                  <c:v>26684</c:v>
                </c:pt>
                <c:pt idx="7">
                  <c:v>23016</c:v>
                </c:pt>
                <c:pt idx="8">
                  <c:v>18558</c:v>
                </c:pt>
                <c:pt idx="9">
                  <c:v>18048</c:v>
                </c:pt>
                <c:pt idx="10">
                  <c:v>17031</c:v>
                </c:pt>
                <c:pt idx="11">
                  <c:v>17714</c:v>
                </c:pt>
                <c:pt idx="12">
                  <c:v>21741</c:v>
                </c:pt>
                <c:pt idx="13">
                  <c:v>24127</c:v>
                </c:pt>
                <c:pt idx="14">
                  <c:v>23461</c:v>
                </c:pt>
                <c:pt idx="15">
                  <c:v>26210</c:v>
                </c:pt>
                <c:pt idx="16">
                  <c:v>28084</c:v>
                </c:pt>
                <c:pt idx="17">
                  <c:v>28592</c:v>
                </c:pt>
                <c:pt idx="18">
                  <c:v>28177</c:v>
                </c:pt>
                <c:pt idx="19">
                  <c:v>28230</c:v>
                </c:pt>
                <c:pt idx="20">
                  <c:v>30083</c:v>
                </c:pt>
                <c:pt idx="21">
                  <c:v>31852</c:v>
                </c:pt>
                <c:pt idx="22">
                  <c:v>27109</c:v>
                </c:pt>
                <c:pt idx="23">
                  <c:v>21899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DA-45B1-A07A-0A1D25A7BC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0134960"/>
        <c:axId val="1900140784"/>
      </c:lineChart>
      <c:catAx>
        <c:axId val="190013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00140784"/>
        <c:crosses val="autoZero"/>
        <c:auto val="1"/>
        <c:lblAlgn val="ctr"/>
        <c:lblOffset val="100"/>
        <c:noMultiLvlLbl val="0"/>
      </c:catAx>
      <c:valAx>
        <c:axId val="1900140784"/>
        <c:scaling>
          <c:orientation val="minMax"/>
          <c:max val="35000"/>
          <c:min val="15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90013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Listings (Thru 4th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'4th QTR County Data'!$I$296</c:f>
              <c:strCache>
                <c:ptCount val="1"/>
                <c:pt idx="0">
                  <c:v> Number of Units Listed </c:v>
                </c:pt>
              </c:strCache>
            </c:strRef>
          </c:tx>
          <c:spPr>
            <a:ln w="635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chemeClr val="accent1">
                    <a:lumMod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A5-44EB-AC79-57909A0E3EB4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chemeClr val="accent1">
                    <a:lumMod val="50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A5-44EB-AC79-57909A0E3E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'4th QTR County Data'!$B$298:$B$321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'4th QTR County Data'!$I$298:$I$321</c:f>
              <c:numCache>
                <c:formatCode>_(* #,##0_);_(* \(#,##0\);_(* "-"??_);_(@_)</c:formatCode>
                <c:ptCount val="24"/>
                <c:pt idx="0">
                  <c:v>30890</c:v>
                </c:pt>
                <c:pt idx="1">
                  <c:v>33905</c:v>
                </c:pt>
                <c:pt idx="2">
                  <c:v>33729</c:v>
                </c:pt>
                <c:pt idx="3">
                  <c:v>35055</c:v>
                </c:pt>
                <c:pt idx="4">
                  <c:v>39702</c:v>
                </c:pt>
                <c:pt idx="5">
                  <c:v>47484</c:v>
                </c:pt>
                <c:pt idx="6">
                  <c:v>54078</c:v>
                </c:pt>
                <c:pt idx="7">
                  <c:v>54223</c:v>
                </c:pt>
                <c:pt idx="8">
                  <c:v>47119</c:v>
                </c:pt>
                <c:pt idx="9">
                  <c:v>42922</c:v>
                </c:pt>
                <c:pt idx="10">
                  <c:v>41874</c:v>
                </c:pt>
                <c:pt idx="11">
                  <c:v>37140</c:v>
                </c:pt>
                <c:pt idx="12">
                  <c:v>36084</c:v>
                </c:pt>
                <c:pt idx="13">
                  <c:v>36872</c:v>
                </c:pt>
                <c:pt idx="14">
                  <c:v>37853</c:v>
                </c:pt>
                <c:pt idx="15">
                  <c:v>38282</c:v>
                </c:pt>
                <c:pt idx="16">
                  <c:v>36467</c:v>
                </c:pt>
                <c:pt idx="17">
                  <c:v>36721</c:v>
                </c:pt>
                <c:pt idx="18">
                  <c:v>35725</c:v>
                </c:pt>
                <c:pt idx="19">
                  <c:v>35835</c:v>
                </c:pt>
                <c:pt idx="20">
                  <c:v>34923</c:v>
                </c:pt>
                <c:pt idx="21">
                  <c:v>36743</c:v>
                </c:pt>
                <c:pt idx="22">
                  <c:v>31625</c:v>
                </c:pt>
                <c:pt idx="23">
                  <c:v>26899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1A5-44EB-AC79-57909A0E3E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/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7</cp:revision>
  <cp:lastPrinted>2024-01-15T15:03:00Z</cp:lastPrinted>
  <dcterms:created xsi:type="dcterms:W3CDTF">2024-01-14T18:13:00Z</dcterms:created>
  <dcterms:modified xsi:type="dcterms:W3CDTF">2024-01-15T16:15:00Z</dcterms:modified>
</cp:coreProperties>
</file>