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0D7CAA1A" w:rsidR="00127EF0" w:rsidRDefault="00C60BD7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09D27C6B">
                <wp:simplePos x="0" y="0"/>
                <wp:positionH relativeFrom="column">
                  <wp:posOffset>-914400</wp:posOffset>
                </wp:positionH>
                <wp:positionV relativeFrom="paragraph">
                  <wp:posOffset>-152400</wp:posOffset>
                </wp:positionV>
                <wp:extent cx="2895600" cy="94297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6" style="position:absolute;left:0;text-align:left;margin-left:-1in;margin-top:-12pt;width:228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029669D6">
                <wp:simplePos x="0" y="0"/>
                <wp:positionH relativeFrom="column">
                  <wp:posOffset>4143375</wp:posOffset>
                </wp:positionH>
                <wp:positionV relativeFrom="paragraph">
                  <wp:posOffset>-85090</wp:posOffset>
                </wp:positionV>
                <wp:extent cx="2298700" cy="361950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3098430A" w:rsidR="00AD4C46" w:rsidRPr="000478F6" w:rsidRDefault="000C29EF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June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="008223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84031D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7" style="position:absolute;left:0;text-align:left;margin-left:326.25pt;margin-top:-6.7pt;width:181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" filled="f" stroked="f" strokeweight="1pt">
                <v:textbox>
                  <w:txbxContent>
                    <w:p w14:paraId="647EB74D" w14:textId="3098430A" w:rsidR="00AD4C46" w:rsidRPr="000478F6" w:rsidRDefault="000C29EF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June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 w:rsidR="008223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84031D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7A7D560A" w:rsidR="00127EF0" w:rsidRPr="00AD4C46" w:rsidRDefault="000C29EF" w:rsidP="00AD4C46">
      <w:pPr>
        <w:pStyle w:val="Heading1"/>
      </w:pPr>
      <w:r>
        <w:t>May</w:t>
      </w:r>
      <w:r w:rsidR="00FE474E" w:rsidRPr="00AD4C46">
        <w:t xml:space="preserve"> Home Sales </w:t>
      </w:r>
      <w:r w:rsidR="00FE474E">
        <w:t xml:space="preserve">Down </w:t>
      </w:r>
      <w:r w:rsidR="002E7105">
        <w:t>0</w:t>
      </w:r>
      <w:r w:rsidR="00FE474E">
        <w:t>.</w:t>
      </w:r>
      <w:r w:rsidR="002E7105">
        <w:t>2</w:t>
      </w:r>
      <w:r w:rsidR="00FE474E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26E5D7C2" w:rsidR="00E302C4" w:rsidRPr="002F2B80" w:rsidRDefault="00CD1A8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CD1A8C">
              <w:rPr>
                <w:sz w:val="24"/>
                <w:szCs w:val="24"/>
              </w:rPr>
              <w:t>Stable Sales, Limited Inventory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21C30FBA" w:rsidR="00E302C4" w:rsidRPr="007B1281" w:rsidRDefault="00CD1A8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CD1A8C">
              <w:rPr>
                <w:sz w:val="24"/>
                <w:szCs w:val="24"/>
              </w:rPr>
              <w:t>Lingering Impact of Interest Rates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70559013" w:rsidR="00E302C4" w:rsidRPr="002F2B80" w:rsidRDefault="00CD1A8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CD1A8C">
              <w:rPr>
                <w:sz w:val="24"/>
                <w:szCs w:val="24"/>
              </w:rPr>
              <w:t>High Demand, Low Supply in Key Price Range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590916" w:rsidRPr="00590916" w14:paraId="1951FBD2" w14:textId="77777777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44D9" w14:textId="4DE517C0" w:rsidR="00590916" w:rsidRPr="00590916" w:rsidRDefault="002E7105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="00590916" w:rsidRPr="00590916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590916" w:rsidRPr="00590916" w14:paraId="2F1FD7ED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79366999" w14:textId="77777777" w:rsidR="00590916" w:rsidRPr="00590916" w:rsidRDefault="00590916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0945" w14:textId="0E44BD9E" w:rsidR="00590916" w:rsidRPr="00590916" w:rsidRDefault="00590916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A34A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6B1D" w14:textId="571AB3B0" w:rsidR="00590916" w:rsidRPr="00590916" w:rsidRDefault="00590916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A34A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7B82994" w14:textId="77777777" w:rsidR="00590916" w:rsidRPr="00590916" w:rsidRDefault="00590916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4013C3" w:rsidRPr="00590916" w14:paraId="7C0C1C36" w14:textId="77777777" w:rsidTr="004354F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6BAC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E97C1" w14:textId="5EB0DD5D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07ABD" w14:textId="3E154647" w:rsidR="004013C3" w:rsidRPr="00857164" w:rsidRDefault="004013C3" w:rsidP="004013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8445" w14:textId="1D2D310F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-0.6%</w:t>
            </w:r>
          </w:p>
        </w:tc>
      </w:tr>
      <w:tr w:rsidR="004013C3" w:rsidRPr="00590916" w14:paraId="43ED38EF" w14:textId="77777777" w:rsidTr="004354F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38F4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CD3DD" w14:textId="7FBF0FE6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89C6E" w14:textId="13672362" w:rsidR="004013C3" w:rsidRPr="00857164" w:rsidRDefault="004013C3" w:rsidP="004013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5C5E4F3" w14:textId="0169AFBF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4013C3" w:rsidRPr="00590916" w14:paraId="458F810A" w14:textId="77777777" w:rsidTr="004354F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0FFF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8AE68" w14:textId="4C6239CA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7C6E4" w14:textId="640C0632" w:rsidR="004013C3" w:rsidRPr="00857164" w:rsidRDefault="004013C3" w:rsidP="004013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5DD17" w14:textId="631CAF75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2.8%</w:t>
            </w:r>
          </w:p>
        </w:tc>
      </w:tr>
      <w:tr w:rsidR="004013C3" w:rsidRPr="00590916" w14:paraId="3B617E76" w14:textId="77777777" w:rsidTr="004354F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33A0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7568B" w14:textId="0B2DD731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FEF09" w14:textId="721F0A72" w:rsidR="004013C3" w:rsidRPr="00857164" w:rsidRDefault="004013C3" w:rsidP="004013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7D1EC43" w14:textId="65BA881C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-0.6%</w:t>
            </w:r>
          </w:p>
        </w:tc>
      </w:tr>
      <w:tr w:rsidR="004013C3" w:rsidRPr="00590916" w14:paraId="51E16BB1" w14:textId="77777777" w:rsidTr="007F2439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95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2432" w14:textId="11FF5A59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1,715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5141" w14:textId="1C2C19CA" w:rsidR="004013C3" w:rsidRPr="00857164" w:rsidRDefault="004013C3" w:rsidP="004013C3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00235" w14:textId="31BC5F6B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-0.2%</w:t>
            </w:r>
          </w:p>
        </w:tc>
      </w:tr>
      <w:tr w:rsidR="00590916" w:rsidRPr="00590916" w14:paraId="5CD28BC8" w14:textId="77777777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473B" w14:textId="77777777" w:rsidR="00590916" w:rsidRPr="00590916" w:rsidRDefault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013C3" w:rsidRPr="00590916" w14:paraId="27C08398" w14:textId="77777777" w:rsidTr="00D2476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6056" w14:textId="3FD3E1A5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16D33" w14:textId="0745DE04" w:rsidR="004013C3" w:rsidRPr="00857164" w:rsidRDefault="004013C3" w:rsidP="004013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732F0" w14:textId="529BC253" w:rsidR="004013C3" w:rsidRPr="00857164" w:rsidRDefault="004013C3" w:rsidP="004013C3">
            <w:pPr>
              <w:spacing w:line="252" w:lineRule="auto"/>
              <w:ind w:right="13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A133B" w14:textId="4F139E0B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-13.5%</w:t>
            </w:r>
          </w:p>
        </w:tc>
      </w:tr>
      <w:tr w:rsidR="004013C3" w:rsidRPr="00590916" w14:paraId="51D033A2" w14:textId="77777777" w:rsidTr="00D2476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2ACC" w14:textId="5E9E4532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7A003" w14:textId="0E0CA9BD" w:rsidR="004013C3" w:rsidRPr="00857164" w:rsidRDefault="004013C3" w:rsidP="004013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F526D01" w14:textId="0AAC4BB2" w:rsidR="004013C3" w:rsidRPr="00857164" w:rsidRDefault="004013C3" w:rsidP="004013C3">
            <w:pPr>
              <w:spacing w:line="252" w:lineRule="auto"/>
              <w:ind w:right="13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82C9801" w14:textId="5C3A233F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10.1%</w:t>
            </w:r>
          </w:p>
        </w:tc>
      </w:tr>
      <w:tr w:rsidR="004013C3" w:rsidRPr="00590916" w14:paraId="2B631BBA" w14:textId="77777777" w:rsidTr="00D2476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9C74" w14:textId="2753C061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3D65E" w14:textId="356EFA96" w:rsidR="004013C3" w:rsidRPr="00857164" w:rsidRDefault="004013C3" w:rsidP="004013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3D840" w14:textId="1C27330E" w:rsidR="004013C3" w:rsidRPr="00857164" w:rsidRDefault="004013C3" w:rsidP="004013C3">
            <w:pPr>
              <w:spacing w:line="252" w:lineRule="auto"/>
              <w:ind w:right="13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CBB8" w14:textId="3E20DFFB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-11.7%</w:t>
            </w:r>
          </w:p>
        </w:tc>
      </w:tr>
      <w:tr w:rsidR="004013C3" w:rsidRPr="00590916" w14:paraId="3F1C3EF2" w14:textId="77777777" w:rsidTr="00D2476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65CC" w14:textId="4D32DDFA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ECF190" w14:textId="653A63F9" w:rsidR="004013C3" w:rsidRPr="00857164" w:rsidRDefault="004013C3" w:rsidP="004013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1FFC12D5" w14:textId="657004C2" w:rsidR="004013C3" w:rsidRPr="00857164" w:rsidRDefault="004013C3" w:rsidP="004013C3">
            <w:pPr>
              <w:spacing w:line="252" w:lineRule="auto"/>
              <w:ind w:right="13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46B2FFA" w14:textId="07458976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6.5%</w:t>
            </w:r>
          </w:p>
        </w:tc>
      </w:tr>
      <w:tr w:rsidR="004013C3" w:rsidRPr="00590916" w14:paraId="47B22EA9" w14:textId="77777777" w:rsidTr="00E6132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F7E9" w14:textId="414E05DB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8793" w14:textId="4173DAB6" w:rsidR="004013C3" w:rsidRPr="00857164" w:rsidRDefault="004013C3" w:rsidP="004013C3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2,338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FBC1" w14:textId="7C2219E2" w:rsidR="004013C3" w:rsidRPr="00857164" w:rsidRDefault="004013C3" w:rsidP="004013C3">
            <w:pPr>
              <w:spacing w:line="252" w:lineRule="auto"/>
              <w:ind w:right="13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5DD94" w14:textId="3AAF84B0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-0.3%</w:t>
            </w:r>
          </w:p>
        </w:tc>
      </w:tr>
      <w:tr w:rsidR="000C29EF" w:rsidRPr="00590916" w14:paraId="6E02E323" w14:textId="77777777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9B70" w14:textId="77777777" w:rsidR="000C29EF" w:rsidRPr="00590916" w:rsidRDefault="000C29EF" w:rsidP="000C29EF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29EF" w:rsidRPr="00590916" w14:paraId="045E7004" w14:textId="77777777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B28B" w14:textId="1A20CB41" w:rsidR="000C29EF" w:rsidRPr="00590916" w:rsidRDefault="002E7105" w:rsidP="000C29E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  <w:r w:rsidR="000C29EF" w:rsidRPr="005909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0C29EF" w:rsidRPr="00590916" w14:paraId="76E2526C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041F" w14:textId="77777777" w:rsidR="000C29EF" w:rsidRPr="00590916" w:rsidRDefault="000C29EF" w:rsidP="000C29EF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FBB8" w14:textId="7567BCA6" w:rsidR="000C29EF" w:rsidRPr="00590916" w:rsidRDefault="000C29EF" w:rsidP="000C29EF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78638F3E" w14:textId="1B8A3535" w:rsidR="000C29EF" w:rsidRPr="00590916" w:rsidRDefault="000C29EF" w:rsidP="000C29EF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E7B2FB7" w14:textId="77777777" w:rsidR="000C29EF" w:rsidRPr="00590916" w:rsidRDefault="000C29EF" w:rsidP="000C29EF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4013C3" w:rsidRPr="00590916" w14:paraId="301572EF" w14:textId="77777777" w:rsidTr="00812859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FC5B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E2A77" w14:textId="1B93A27E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FF74A" w14:textId="2BBB5EB2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1242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A67A" w14:textId="213935AD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4.0%</w:t>
            </w:r>
          </w:p>
        </w:tc>
      </w:tr>
      <w:tr w:rsidR="004013C3" w:rsidRPr="00590916" w14:paraId="3B389280" w14:textId="77777777" w:rsidTr="0081285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01C8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C3005" w14:textId="1606041D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E0B0BE7" w14:textId="30F5B647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D47FD2" w14:textId="114BEA1D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4.2%</w:t>
            </w:r>
          </w:p>
        </w:tc>
      </w:tr>
      <w:tr w:rsidR="004013C3" w:rsidRPr="00590916" w14:paraId="00A913E2" w14:textId="77777777" w:rsidTr="0081285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11F8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305EC" w14:textId="2F2C91B6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71CBB" w14:textId="0A5BC7DB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5FE4A" w14:textId="1A806D3C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5.0%</w:t>
            </w:r>
          </w:p>
        </w:tc>
      </w:tr>
      <w:tr w:rsidR="004013C3" w:rsidRPr="00590916" w14:paraId="3D9085D0" w14:textId="77777777" w:rsidTr="00812859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8503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37C1F8" w14:textId="20028945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bottom"/>
          </w:tcPr>
          <w:p w14:paraId="55193277" w14:textId="1B4EDD6C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2B1E44F" w14:textId="4D579EFE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1.8%</w:t>
            </w:r>
          </w:p>
        </w:tc>
      </w:tr>
      <w:tr w:rsidR="004013C3" w:rsidRPr="00590916" w14:paraId="489F45F4" w14:textId="77777777" w:rsidTr="00741336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519B" w14:textId="77777777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875E" w14:textId="45F5F3FF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AF5E4" w14:textId="5E586E78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2,293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81660" w14:textId="78708909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3.9%</w:t>
            </w:r>
          </w:p>
        </w:tc>
      </w:tr>
      <w:tr w:rsidR="000C29EF" w:rsidRPr="00590916" w14:paraId="67FDCD28" w14:textId="77777777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CC1" w14:textId="77777777" w:rsidR="000C29EF" w:rsidRPr="00590916" w:rsidRDefault="000C29EF" w:rsidP="000C29EF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013C3" w:rsidRPr="00590916" w14:paraId="17CDC9E3" w14:textId="77777777" w:rsidTr="00EF5DFD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5798" w14:textId="375CDAE5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11073" w14:textId="362B64D0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0E863" w14:textId="2BB2C4A6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00B4A" w14:textId="157EA99E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-5.6%</w:t>
            </w:r>
          </w:p>
        </w:tc>
      </w:tr>
      <w:tr w:rsidR="004013C3" w:rsidRPr="00590916" w14:paraId="3A15A378" w14:textId="77777777" w:rsidTr="00EF5DFD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BF30" w14:textId="155CE210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17757" w14:textId="5BC5470A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06C3BD0" w14:textId="40561F8A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33F9A78" w14:textId="281F98D3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-8.8%</w:t>
            </w:r>
          </w:p>
        </w:tc>
      </w:tr>
      <w:tr w:rsidR="004013C3" w:rsidRPr="00590916" w14:paraId="1333D5ED" w14:textId="77777777" w:rsidTr="00EF5DFD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FD13" w14:textId="2153DF44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5A183" w14:textId="4B609A05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1EFBC" w14:textId="5C2EE87E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6F4A3" w14:textId="47AB9723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3.3%</w:t>
            </w:r>
          </w:p>
        </w:tc>
      </w:tr>
      <w:tr w:rsidR="004013C3" w:rsidRPr="00590916" w14:paraId="55E92559" w14:textId="77777777" w:rsidTr="00EF5DFD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AE3A" w14:textId="3BA543DD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2CBB2" w14:textId="3B0C7C31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bottom"/>
          </w:tcPr>
          <w:p w14:paraId="084D69B2" w14:textId="0A344194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CDC9913" w14:textId="3CD243AD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-4.5%</w:t>
            </w:r>
          </w:p>
        </w:tc>
      </w:tr>
      <w:tr w:rsidR="004013C3" w:rsidRPr="00590916" w14:paraId="6FE4DA67" w14:textId="77777777" w:rsidTr="002F4C38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215F" w14:textId="73A7BAFB" w:rsidR="004013C3" w:rsidRPr="00590916" w:rsidRDefault="004013C3" w:rsidP="004013C3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E93E" w14:textId="391C2A39" w:rsidR="004013C3" w:rsidRPr="00857164" w:rsidRDefault="004013C3" w:rsidP="004013C3">
            <w:pPr>
              <w:spacing w:line="252" w:lineRule="auto"/>
              <w:ind w:left="44" w:right="6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BE0C" w14:textId="14713678" w:rsidR="004013C3" w:rsidRPr="00857164" w:rsidRDefault="004013C3" w:rsidP="004013C3">
            <w:pPr>
              <w:spacing w:line="252" w:lineRule="auto"/>
              <w:ind w:righ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3,138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DB9FB" w14:textId="700A3089" w:rsidR="004013C3" w:rsidRPr="00857164" w:rsidRDefault="004013C3" w:rsidP="004013C3">
            <w:pPr>
              <w:spacing w:line="252" w:lineRule="auto"/>
              <w:ind w:right="19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76874262" w14:textId="5215E009" w:rsidR="00CD1A8C" w:rsidRDefault="00BE5E32" w:rsidP="00CD1A8C">
      <w:r>
        <w:t>May h</w:t>
      </w:r>
      <w:r w:rsidR="00CD1A8C">
        <w:t>ome sales in the Metropolitan Milwaukee housing market remained essentially unchanged from last year, with just four fewer units sold compared to 2024.</w:t>
      </w:r>
    </w:p>
    <w:p w14:paraId="3E0AA4B6" w14:textId="77777777" w:rsidR="00CD1A8C" w:rsidRDefault="00CD1A8C" w:rsidP="00CD1A8C"/>
    <w:p w14:paraId="395D9E61" w14:textId="1BA59DD7" w:rsidR="00CD1A8C" w:rsidRDefault="00CD1A8C" w:rsidP="00CD1A8C">
      <w:r>
        <w:t xml:space="preserve">May marked the fourth straight month of declining sales, </w:t>
      </w:r>
      <w:r w:rsidR="00BE5E32">
        <w:t xml:space="preserve">however, </w:t>
      </w:r>
      <w:r>
        <w:t xml:space="preserve">year-to-date figures </w:t>
      </w:r>
      <w:r w:rsidR="00BE5E32">
        <w:t>we</w:t>
      </w:r>
      <w:r>
        <w:t>re only 105 units behind where they were at this time in 2024.</w:t>
      </w:r>
    </w:p>
    <w:p w14:paraId="5791B4EC" w14:textId="77777777" w:rsidR="00CD1A8C" w:rsidRDefault="00CD1A8C" w:rsidP="00CD1A8C"/>
    <w:p w14:paraId="0BD698BB" w14:textId="0A3A41AC" w:rsidR="00CD1A8C" w:rsidRDefault="00CD1A8C" w:rsidP="00CD1A8C">
      <w:r>
        <w:t xml:space="preserve">The market experienced a major shift in June 2022 when interest rates surged, leading to a drop of more than 3,000 annual sales. While higher rates pushed some buyers to the sidelines, the more lasting impact </w:t>
      </w:r>
      <w:r w:rsidR="00BE5E32">
        <w:t>was</w:t>
      </w:r>
      <w:r>
        <w:t xml:space="preserve"> on inventory</w:t>
      </w:r>
      <w:r w:rsidR="00BE5E32">
        <w:t xml:space="preserve"> - </w:t>
      </w:r>
      <w:r>
        <w:t>many potential sellers chose not to list their homes, resulting in fewer properties for buyers to purchase.</w:t>
      </w:r>
    </w:p>
    <w:p w14:paraId="42ADECFD" w14:textId="77777777" w:rsidR="00CD1A8C" w:rsidRDefault="00CD1A8C" w:rsidP="00CD1A8C"/>
    <w:p w14:paraId="036BBAE0" w14:textId="147B2032" w:rsidR="00EA4A63" w:rsidRDefault="00CD1A8C" w:rsidP="00CD1A8C">
      <w:r>
        <w:t xml:space="preserve">When new listings do appear, </w:t>
      </w:r>
      <w:r w:rsidR="00BE5E32">
        <w:t>they are</w:t>
      </w:r>
      <w:r>
        <w:t xml:space="preserve"> quickly absorbed. In May, listings increased 3.9%, adding </w:t>
      </w:r>
      <w:r w:rsidR="00617C66">
        <w:t>2</w:t>
      </w:r>
      <w:r>
        <w:t>,2</w:t>
      </w:r>
      <w:r w:rsidR="00617C66">
        <w:t>93</w:t>
      </w:r>
      <w:r>
        <w:t xml:space="preserve"> new units and boosting inventory to 3.1 months. However, </w:t>
      </w:r>
      <w:r w:rsidR="00617C66">
        <w:t xml:space="preserve">if we subtract the </w:t>
      </w:r>
      <w:r w:rsidR="003D1C8D">
        <w:t xml:space="preserve">listings that had accepted offers in May </w:t>
      </w:r>
      <w:r w:rsidR="003D1C8D">
        <w:t xml:space="preserve">(these are not considered closed sales) </w:t>
      </w:r>
      <w:r w:rsidR="003D1C8D">
        <w:t>inventory drops to</w:t>
      </w:r>
      <w:r>
        <w:t xml:space="preserve"> 1.2 months.</w:t>
      </w:r>
      <w:r w:rsidR="00EA4A63">
        <w:t xml:space="preserve"> </w:t>
      </w:r>
    </w:p>
    <w:p w14:paraId="0437B794" w14:textId="77777777" w:rsidR="003D75FD" w:rsidRDefault="003D75FD" w:rsidP="00F84C72"/>
    <w:p w14:paraId="0BA3B9FF" w14:textId="77777777" w:rsidR="00CD1A8C" w:rsidRDefault="00CD1A8C" w:rsidP="00CD1A8C">
      <w:r>
        <w:t>New construction has long lagged behind demand. The market would benefit from at least 4,000 more homes to adequately serve interested buyers.</w:t>
      </w:r>
    </w:p>
    <w:p w14:paraId="6A56D5CD" w14:textId="77777777" w:rsidR="003D1C8D" w:rsidRDefault="003D1C8D" w:rsidP="00CD1A8C"/>
    <w:p w14:paraId="23231D77" w14:textId="77777777" w:rsidR="00CD1A8C" w:rsidRDefault="00CD1A8C" w:rsidP="00CD1A8C"/>
    <w:p w14:paraId="152E300E" w14:textId="77777777" w:rsidR="00CD1A8C" w:rsidRDefault="00CD1A8C" w:rsidP="00CD1A8C">
      <w:r>
        <w:lastRenderedPageBreak/>
        <w:t>The most active segment of the market continues to be existing homes priced between $200,000 and $399,999, which made up over 44% of May’s sales. This range appeals to both Millennial and Gen Z first-time buyers as well as downsizing empty nesters.</w:t>
      </w:r>
    </w:p>
    <w:p w14:paraId="27F64A0D" w14:textId="77777777" w:rsidR="00CD1A8C" w:rsidRDefault="00CD1A8C" w:rsidP="00CD1A8C"/>
    <w:p w14:paraId="2E839AB5" w14:textId="77777777" w:rsidR="00CD1A8C" w:rsidRDefault="00CD1A8C" w:rsidP="00CD1A8C">
      <w:r>
        <w:t>Strong demand stems from buyers eager to enjoy the quality-of-life benefits of homeownership. Many are stretching financially to qualify for loans or save enough for a down payment.</w:t>
      </w:r>
    </w:p>
    <w:p w14:paraId="09D2DE42" w14:textId="77777777" w:rsidR="00CD1A8C" w:rsidRDefault="00CD1A8C" w:rsidP="00CD1A8C"/>
    <w:p w14:paraId="4E012A29" w14:textId="15687573" w:rsidR="002920FB" w:rsidRDefault="00CD1A8C" w:rsidP="00CD1A8C">
      <w:r>
        <w:t xml:space="preserve">As </w:t>
      </w:r>
      <w:r w:rsidR="00BE5E32">
        <w:t>we have</w:t>
      </w:r>
      <w:r>
        <w:t xml:space="preserve"> noted for years, REALTORS® face ongoing challenges helping clients find ownership opportunities in </w:t>
      </w:r>
      <w:r w:rsidR="00BE5E32">
        <w:t>condominiums</w:t>
      </w:r>
      <w:r>
        <w:t xml:space="preserve"> and single-family homes. Thousands of would-be buyers are stuck renting, unable to build equity or save for future home purchases</w:t>
      </w:r>
      <w:r w:rsidR="003244DA" w:rsidRPr="00F84C72">
        <w:t xml:space="preserve">. </w:t>
      </w:r>
    </w:p>
    <w:p w14:paraId="0E8CFA5B" w14:textId="77777777" w:rsidR="00915E05" w:rsidRDefault="00915E05" w:rsidP="003244DA"/>
    <w:p w14:paraId="6C6A5D4A" w14:textId="7777777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2783A965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</w:t>
      </w:r>
      <w:r w:rsidR="00D93CEF">
        <w:t>the</w:t>
      </w:r>
      <w:r w:rsidRPr="00627017">
        <w:t xml:space="preserve"> expert advice </w:t>
      </w:r>
      <w:r w:rsidR="00D93CEF">
        <w:t xml:space="preserve">of a </w:t>
      </w:r>
      <w:r w:rsidR="00D93CEF" w:rsidRPr="00627017">
        <w:t>REALTOR</w:t>
      </w:r>
      <w:r w:rsidR="00D93CEF" w:rsidRPr="00DC07EE">
        <w:rPr>
          <w:vertAlign w:val="superscript"/>
        </w:rPr>
        <w:t>®</w:t>
      </w:r>
      <w:r w:rsidR="00D93CEF" w:rsidRPr="00627017">
        <w:t xml:space="preserve"> </w:t>
      </w:r>
      <w:r w:rsidRPr="00627017">
        <w:t xml:space="preserve">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011FCCBC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760F42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217B9C6F" w14:textId="0CD3A35A" w:rsidR="006D0982" w:rsidRDefault="006D0982">
      <w:pPr>
        <w:spacing w:after="160" w:line="259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7FA9B6E" w14:textId="1CD631C0" w:rsidR="00722A43" w:rsidRDefault="004013C3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03F42C7" wp14:editId="4F8E7080">
            <wp:extent cx="5645432" cy="3269685"/>
            <wp:effectExtent l="0" t="0" r="12700" b="6985"/>
            <wp:docPr id="1991248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1485EFBF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</w:t>
      </w:r>
      <w:r w:rsidR="0060287B" w:rsidRPr="006D0982">
        <w:rPr>
          <w:rStyle w:val="NormalCalloutText"/>
        </w:rPr>
        <w:t>level</w:t>
      </w:r>
      <w:r w:rsidR="0060287B" w:rsidRPr="00F84C72">
        <w:rPr>
          <w:rStyle w:val="NormalCalloutText"/>
        </w:rPr>
        <w:t xml:space="preserve"> for </w:t>
      </w:r>
      <w:r w:rsidR="002E7105">
        <w:rPr>
          <w:rStyle w:val="NormalCalloutText"/>
        </w:rPr>
        <w:t>May</w:t>
      </w:r>
      <w:r w:rsidR="0060287B" w:rsidRPr="00F84C72">
        <w:rPr>
          <w:rStyle w:val="NormalCalloutText"/>
        </w:rPr>
        <w:t xml:space="preserve"> was </w:t>
      </w:r>
      <w:r w:rsidR="00CD1A8C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CD1A8C">
        <w:rPr>
          <w:rStyle w:val="NormalCalloutText"/>
        </w:rPr>
        <w:t>1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A55858">
        <w:t xml:space="preserve"> </w:t>
      </w:r>
      <w:r w:rsidR="00A55858" w:rsidRPr="006D0982">
        <w:rPr>
          <w:b/>
          <w:bCs/>
          <w:color w:val="203058"/>
        </w:rPr>
        <w:t>1,</w:t>
      </w:r>
      <w:r w:rsidR="006D0982">
        <w:rPr>
          <w:b/>
          <w:bCs/>
          <w:color w:val="203058"/>
        </w:rPr>
        <w:t>7</w:t>
      </w:r>
      <w:r w:rsidR="00CD1A8C">
        <w:rPr>
          <w:b/>
          <w:bCs/>
          <w:color w:val="203058"/>
        </w:rPr>
        <w:t>62</w:t>
      </w:r>
      <w:r w:rsidR="00A55858" w:rsidRPr="006D0982">
        <w:rPr>
          <w:b/>
          <w:bCs/>
          <w:color w:val="203058"/>
        </w:rPr>
        <w:t xml:space="preserve"> “active offer”</w:t>
      </w:r>
      <w:r w:rsidR="00FE2AA3" w:rsidRPr="006D0982">
        <w:rPr>
          <w:color w:val="203058"/>
        </w:rPr>
        <w:t xml:space="preserve"> </w:t>
      </w:r>
      <w:r w:rsidR="00A55858">
        <w:t xml:space="preserve">listings </w:t>
      </w:r>
      <w:r w:rsidR="00FE2AA3" w:rsidRPr="00D010BD">
        <w:t xml:space="preserve">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A60BE2">
        <w:rPr>
          <w:b/>
          <w:bCs/>
          <w:color w:val="203058"/>
        </w:rPr>
        <w:t>3,</w:t>
      </w:r>
      <w:r w:rsidR="00CD1A8C">
        <w:rPr>
          <w:b/>
          <w:bCs/>
          <w:color w:val="203058"/>
        </w:rPr>
        <w:t>40</w:t>
      </w:r>
      <w:r w:rsidR="00A60BE2">
        <w:rPr>
          <w:b/>
          <w:bCs/>
          <w:color w:val="203058"/>
        </w:rPr>
        <w:t>9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CD1A8C">
        <w:rPr>
          <w:rStyle w:val="NormalCalloutText"/>
        </w:rPr>
        <w:t>2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07864473" w:rsidR="00FE2AA3" w:rsidRDefault="004013C3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44FC935E" wp14:editId="6B08E6E3">
            <wp:extent cx="5605074" cy="3040098"/>
            <wp:effectExtent l="0" t="0" r="15240" b="8255"/>
            <wp:docPr id="897963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29321A44" w:rsidR="002920FB" w:rsidRDefault="004E6698" w:rsidP="00590916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CD1A8C">
        <w:t>4</w:t>
      </w:r>
      <w:r w:rsidRPr="00E65D35">
        <w:t>,</w:t>
      </w:r>
      <w:r w:rsidR="00CD1A8C">
        <w:t>280</w:t>
      </w:r>
      <w:r w:rsidRPr="00E65D35">
        <w:t xml:space="preserve"> current listings providing </w:t>
      </w:r>
      <w:r w:rsidR="00CD1A8C">
        <w:t>3</w:t>
      </w:r>
      <w:r w:rsidR="00A5716D">
        <w:t>.</w:t>
      </w:r>
      <w:r w:rsidR="00CD1A8C">
        <w:t>1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A60BE2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CD1A8C">
        <w:rPr>
          <w:rStyle w:val="NormalCalloutText"/>
        </w:rPr>
        <w:t>075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C60B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C2A4" w14:textId="77777777" w:rsidR="00F03D48" w:rsidRDefault="00F03D48" w:rsidP="003B327A">
      <w:r>
        <w:separator/>
      </w:r>
    </w:p>
  </w:endnote>
  <w:endnote w:type="continuationSeparator" w:id="0">
    <w:p w14:paraId="2FA321ED" w14:textId="77777777" w:rsidR="00F03D48" w:rsidRDefault="00F03D48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783809175" name="Picture 78380917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452884748" name="Picture 452884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EEBC" w14:textId="77777777" w:rsidR="00F03D48" w:rsidRDefault="00F03D48" w:rsidP="003B327A">
      <w:r>
        <w:separator/>
      </w:r>
    </w:p>
  </w:footnote>
  <w:footnote w:type="continuationSeparator" w:id="0">
    <w:p w14:paraId="268D43B4" w14:textId="77777777" w:rsidR="00F03D48" w:rsidRDefault="00F03D48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717302769" name="Picture 171730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1036468614" name="Picture 103646861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07A2F"/>
    <w:rsid w:val="00010A1A"/>
    <w:rsid w:val="00013AC8"/>
    <w:rsid w:val="0001575D"/>
    <w:rsid w:val="00015D53"/>
    <w:rsid w:val="00017D91"/>
    <w:rsid w:val="000210D8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29EF"/>
    <w:rsid w:val="000C5520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07E28"/>
    <w:rsid w:val="001111CB"/>
    <w:rsid w:val="00112D8F"/>
    <w:rsid w:val="001225DE"/>
    <w:rsid w:val="00122DEE"/>
    <w:rsid w:val="00123614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1F6600"/>
    <w:rsid w:val="001F7017"/>
    <w:rsid w:val="00205183"/>
    <w:rsid w:val="00207323"/>
    <w:rsid w:val="002114BD"/>
    <w:rsid w:val="00211BC4"/>
    <w:rsid w:val="00214FE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60189"/>
    <w:rsid w:val="00261855"/>
    <w:rsid w:val="00267ADF"/>
    <w:rsid w:val="00270176"/>
    <w:rsid w:val="00270753"/>
    <w:rsid w:val="00276DCA"/>
    <w:rsid w:val="00277C91"/>
    <w:rsid w:val="00284B0C"/>
    <w:rsid w:val="00284EF5"/>
    <w:rsid w:val="002853E5"/>
    <w:rsid w:val="002864B3"/>
    <w:rsid w:val="002911FE"/>
    <w:rsid w:val="002920FB"/>
    <w:rsid w:val="002A41E2"/>
    <w:rsid w:val="002A6B1C"/>
    <w:rsid w:val="002A763A"/>
    <w:rsid w:val="002A78ED"/>
    <w:rsid w:val="002B1788"/>
    <w:rsid w:val="002B25FD"/>
    <w:rsid w:val="002B5840"/>
    <w:rsid w:val="002B5C72"/>
    <w:rsid w:val="002C0AE4"/>
    <w:rsid w:val="002C12CA"/>
    <w:rsid w:val="002C412A"/>
    <w:rsid w:val="002C639C"/>
    <w:rsid w:val="002D0230"/>
    <w:rsid w:val="002E3801"/>
    <w:rsid w:val="002E391A"/>
    <w:rsid w:val="002E40D8"/>
    <w:rsid w:val="002E7105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27803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7E8C"/>
    <w:rsid w:val="00377E9E"/>
    <w:rsid w:val="0038324D"/>
    <w:rsid w:val="00383620"/>
    <w:rsid w:val="003878AF"/>
    <w:rsid w:val="0039383D"/>
    <w:rsid w:val="00393E99"/>
    <w:rsid w:val="00395028"/>
    <w:rsid w:val="0039613C"/>
    <w:rsid w:val="003A0989"/>
    <w:rsid w:val="003A6347"/>
    <w:rsid w:val="003B1886"/>
    <w:rsid w:val="003B3214"/>
    <w:rsid w:val="003B327A"/>
    <w:rsid w:val="003C282B"/>
    <w:rsid w:val="003C3E5E"/>
    <w:rsid w:val="003C5FD7"/>
    <w:rsid w:val="003D1C8D"/>
    <w:rsid w:val="003D75FD"/>
    <w:rsid w:val="003E4BD0"/>
    <w:rsid w:val="003F0A1B"/>
    <w:rsid w:val="003F403D"/>
    <w:rsid w:val="003F59E1"/>
    <w:rsid w:val="003F62F0"/>
    <w:rsid w:val="004013C3"/>
    <w:rsid w:val="0040188A"/>
    <w:rsid w:val="00401E93"/>
    <w:rsid w:val="00402253"/>
    <w:rsid w:val="00402A91"/>
    <w:rsid w:val="004036BD"/>
    <w:rsid w:val="00407D21"/>
    <w:rsid w:val="00416029"/>
    <w:rsid w:val="00416329"/>
    <w:rsid w:val="00416DF0"/>
    <w:rsid w:val="004217B7"/>
    <w:rsid w:val="00421D43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5596A"/>
    <w:rsid w:val="00460083"/>
    <w:rsid w:val="00460A09"/>
    <w:rsid w:val="004616F1"/>
    <w:rsid w:val="0046205A"/>
    <w:rsid w:val="004635F0"/>
    <w:rsid w:val="00465F52"/>
    <w:rsid w:val="00470AB1"/>
    <w:rsid w:val="004732AA"/>
    <w:rsid w:val="0047433E"/>
    <w:rsid w:val="00474ECB"/>
    <w:rsid w:val="00476AA0"/>
    <w:rsid w:val="00481980"/>
    <w:rsid w:val="0048406D"/>
    <w:rsid w:val="0049421B"/>
    <w:rsid w:val="004A1A6C"/>
    <w:rsid w:val="004A2C0A"/>
    <w:rsid w:val="004A5A2A"/>
    <w:rsid w:val="004A5FC1"/>
    <w:rsid w:val="004B1439"/>
    <w:rsid w:val="004B2A09"/>
    <w:rsid w:val="004B2A93"/>
    <w:rsid w:val="004C7E31"/>
    <w:rsid w:val="004E218C"/>
    <w:rsid w:val="004E2C81"/>
    <w:rsid w:val="004E6698"/>
    <w:rsid w:val="004E6E55"/>
    <w:rsid w:val="004E7EEF"/>
    <w:rsid w:val="004F08C0"/>
    <w:rsid w:val="004F2090"/>
    <w:rsid w:val="00503E46"/>
    <w:rsid w:val="0050657D"/>
    <w:rsid w:val="00510938"/>
    <w:rsid w:val="00512C5A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48D8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0916"/>
    <w:rsid w:val="005912FE"/>
    <w:rsid w:val="00591C7A"/>
    <w:rsid w:val="00593670"/>
    <w:rsid w:val="0059459C"/>
    <w:rsid w:val="0059620F"/>
    <w:rsid w:val="005B306B"/>
    <w:rsid w:val="005C1A84"/>
    <w:rsid w:val="005C25E4"/>
    <w:rsid w:val="005C3BB5"/>
    <w:rsid w:val="005C4AF7"/>
    <w:rsid w:val="005C581B"/>
    <w:rsid w:val="005C5E3F"/>
    <w:rsid w:val="005D0C58"/>
    <w:rsid w:val="005D4112"/>
    <w:rsid w:val="005E3EDE"/>
    <w:rsid w:val="005E4C81"/>
    <w:rsid w:val="005F3908"/>
    <w:rsid w:val="00602021"/>
    <w:rsid w:val="0060287B"/>
    <w:rsid w:val="00603A94"/>
    <w:rsid w:val="00607B60"/>
    <w:rsid w:val="00612A0E"/>
    <w:rsid w:val="006146B0"/>
    <w:rsid w:val="00617C66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B46"/>
    <w:rsid w:val="00657D2E"/>
    <w:rsid w:val="00662485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B69FE"/>
    <w:rsid w:val="006C0A4A"/>
    <w:rsid w:val="006D06AC"/>
    <w:rsid w:val="006D0982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E7D88"/>
    <w:rsid w:val="006F1DFF"/>
    <w:rsid w:val="006F7E40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0F42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46C6"/>
    <w:rsid w:val="007D09D8"/>
    <w:rsid w:val="007D5E24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0BAA"/>
    <w:rsid w:val="00822003"/>
    <w:rsid w:val="00822341"/>
    <w:rsid w:val="00822622"/>
    <w:rsid w:val="00831E2B"/>
    <w:rsid w:val="00832D28"/>
    <w:rsid w:val="0083681A"/>
    <w:rsid w:val="0084031D"/>
    <w:rsid w:val="00847102"/>
    <w:rsid w:val="00853C6E"/>
    <w:rsid w:val="00857164"/>
    <w:rsid w:val="00857CA5"/>
    <w:rsid w:val="008600B8"/>
    <w:rsid w:val="008646AE"/>
    <w:rsid w:val="00870EBD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B08A7"/>
    <w:rsid w:val="008C1EA3"/>
    <w:rsid w:val="008C5DAC"/>
    <w:rsid w:val="008C6F6A"/>
    <w:rsid w:val="008D51A0"/>
    <w:rsid w:val="008D5219"/>
    <w:rsid w:val="008E494E"/>
    <w:rsid w:val="008E64A6"/>
    <w:rsid w:val="008F12C5"/>
    <w:rsid w:val="008F15EA"/>
    <w:rsid w:val="008F20DE"/>
    <w:rsid w:val="008F46A7"/>
    <w:rsid w:val="00900DBC"/>
    <w:rsid w:val="0090335D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0C7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573C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0EE9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2BA1"/>
    <w:rsid w:val="009B6FCA"/>
    <w:rsid w:val="009B7675"/>
    <w:rsid w:val="009C29B1"/>
    <w:rsid w:val="009C6EA8"/>
    <w:rsid w:val="009D180F"/>
    <w:rsid w:val="009D2241"/>
    <w:rsid w:val="009D3CE1"/>
    <w:rsid w:val="009D3E25"/>
    <w:rsid w:val="009D4B9C"/>
    <w:rsid w:val="009D4C3C"/>
    <w:rsid w:val="009D4F89"/>
    <w:rsid w:val="009D6996"/>
    <w:rsid w:val="009E2F8C"/>
    <w:rsid w:val="009E4BB1"/>
    <w:rsid w:val="009E50C3"/>
    <w:rsid w:val="009E6AC3"/>
    <w:rsid w:val="009F1F68"/>
    <w:rsid w:val="009F21C4"/>
    <w:rsid w:val="00A017CA"/>
    <w:rsid w:val="00A0243B"/>
    <w:rsid w:val="00A0699D"/>
    <w:rsid w:val="00A10126"/>
    <w:rsid w:val="00A139C9"/>
    <w:rsid w:val="00A1782B"/>
    <w:rsid w:val="00A2068E"/>
    <w:rsid w:val="00A2088C"/>
    <w:rsid w:val="00A2539A"/>
    <w:rsid w:val="00A25A48"/>
    <w:rsid w:val="00A260CB"/>
    <w:rsid w:val="00A34AB3"/>
    <w:rsid w:val="00A34ED5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858"/>
    <w:rsid w:val="00A5716D"/>
    <w:rsid w:val="00A608CA"/>
    <w:rsid w:val="00A60995"/>
    <w:rsid w:val="00A60BE2"/>
    <w:rsid w:val="00A648D1"/>
    <w:rsid w:val="00A66F2A"/>
    <w:rsid w:val="00A675BE"/>
    <w:rsid w:val="00A7320C"/>
    <w:rsid w:val="00A750DA"/>
    <w:rsid w:val="00A761D3"/>
    <w:rsid w:val="00A83475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ED9"/>
    <w:rsid w:val="00B01F83"/>
    <w:rsid w:val="00B02FC9"/>
    <w:rsid w:val="00B062F3"/>
    <w:rsid w:val="00B151AD"/>
    <w:rsid w:val="00B170CC"/>
    <w:rsid w:val="00B20739"/>
    <w:rsid w:val="00B209A7"/>
    <w:rsid w:val="00B20EBE"/>
    <w:rsid w:val="00B224F4"/>
    <w:rsid w:val="00B31A16"/>
    <w:rsid w:val="00B330BD"/>
    <w:rsid w:val="00B3472D"/>
    <w:rsid w:val="00B40DFC"/>
    <w:rsid w:val="00B4398C"/>
    <w:rsid w:val="00B441CE"/>
    <w:rsid w:val="00B46E8C"/>
    <w:rsid w:val="00B500F8"/>
    <w:rsid w:val="00B654EB"/>
    <w:rsid w:val="00B65888"/>
    <w:rsid w:val="00B66352"/>
    <w:rsid w:val="00B704CC"/>
    <w:rsid w:val="00B81A3B"/>
    <w:rsid w:val="00B85795"/>
    <w:rsid w:val="00B86C67"/>
    <w:rsid w:val="00B92635"/>
    <w:rsid w:val="00B94474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047"/>
    <w:rsid w:val="00BD5FEE"/>
    <w:rsid w:val="00BD6EF6"/>
    <w:rsid w:val="00BD7E94"/>
    <w:rsid w:val="00BE0E5A"/>
    <w:rsid w:val="00BE5E32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3595"/>
    <w:rsid w:val="00C547F1"/>
    <w:rsid w:val="00C5567F"/>
    <w:rsid w:val="00C60BD7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91C8B"/>
    <w:rsid w:val="00C92A17"/>
    <w:rsid w:val="00CA4DB0"/>
    <w:rsid w:val="00CA5627"/>
    <w:rsid w:val="00CB0036"/>
    <w:rsid w:val="00CC1EAA"/>
    <w:rsid w:val="00CC316C"/>
    <w:rsid w:val="00CD08DE"/>
    <w:rsid w:val="00CD19F7"/>
    <w:rsid w:val="00CD1A8C"/>
    <w:rsid w:val="00CD4658"/>
    <w:rsid w:val="00CD6193"/>
    <w:rsid w:val="00CD7CA8"/>
    <w:rsid w:val="00CD7E58"/>
    <w:rsid w:val="00CE1456"/>
    <w:rsid w:val="00CE4A8B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7084"/>
    <w:rsid w:val="00D8709F"/>
    <w:rsid w:val="00D9193B"/>
    <w:rsid w:val="00D93CEF"/>
    <w:rsid w:val="00D9455C"/>
    <w:rsid w:val="00D94E82"/>
    <w:rsid w:val="00DA2234"/>
    <w:rsid w:val="00DA2DEC"/>
    <w:rsid w:val="00DA467F"/>
    <w:rsid w:val="00DB0943"/>
    <w:rsid w:val="00DB2839"/>
    <w:rsid w:val="00DB6AD0"/>
    <w:rsid w:val="00DB7C1E"/>
    <w:rsid w:val="00DC07EE"/>
    <w:rsid w:val="00DC1506"/>
    <w:rsid w:val="00DC55EC"/>
    <w:rsid w:val="00DC6504"/>
    <w:rsid w:val="00DC7220"/>
    <w:rsid w:val="00DC746F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0EAA"/>
    <w:rsid w:val="00E02A9E"/>
    <w:rsid w:val="00E047BD"/>
    <w:rsid w:val="00E077B8"/>
    <w:rsid w:val="00E132E6"/>
    <w:rsid w:val="00E179C7"/>
    <w:rsid w:val="00E20162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8C4"/>
    <w:rsid w:val="00E6481D"/>
    <w:rsid w:val="00E64AEC"/>
    <w:rsid w:val="00E65D35"/>
    <w:rsid w:val="00E67160"/>
    <w:rsid w:val="00E72019"/>
    <w:rsid w:val="00E722CF"/>
    <w:rsid w:val="00E72902"/>
    <w:rsid w:val="00E739D4"/>
    <w:rsid w:val="00E749C3"/>
    <w:rsid w:val="00E74BDA"/>
    <w:rsid w:val="00E77D7B"/>
    <w:rsid w:val="00E81829"/>
    <w:rsid w:val="00E8432A"/>
    <w:rsid w:val="00E913B2"/>
    <w:rsid w:val="00EA1D8F"/>
    <w:rsid w:val="00EA266F"/>
    <w:rsid w:val="00EA2981"/>
    <w:rsid w:val="00EA2CD3"/>
    <w:rsid w:val="00EA2F2A"/>
    <w:rsid w:val="00EA4A63"/>
    <w:rsid w:val="00EA5AB8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EF58D7"/>
    <w:rsid w:val="00F00AFE"/>
    <w:rsid w:val="00F01A99"/>
    <w:rsid w:val="00F024C3"/>
    <w:rsid w:val="00F03600"/>
    <w:rsid w:val="00F03D48"/>
    <w:rsid w:val="00F07937"/>
    <w:rsid w:val="00F0799F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12AB"/>
    <w:rsid w:val="00F71841"/>
    <w:rsid w:val="00F73353"/>
    <w:rsid w:val="00F75F7E"/>
    <w:rsid w:val="00F80C68"/>
    <w:rsid w:val="00F829AC"/>
    <w:rsid w:val="00F84B08"/>
    <w:rsid w:val="00F84C72"/>
    <w:rsid w:val="00F90B4C"/>
    <w:rsid w:val="00F920AA"/>
    <w:rsid w:val="00F93942"/>
    <w:rsid w:val="00F95110"/>
    <w:rsid w:val="00FA099D"/>
    <w:rsid w:val="00FA724A"/>
    <w:rsid w:val="00FB5F93"/>
    <w:rsid w:val="00FC2C15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2BBC"/>
    <w:rsid w:val="00FE3DE4"/>
    <w:rsid w:val="00FE474E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275B00FA-33BF-4282-8229-34D1D7D1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2575</c:v>
                </c:pt>
                <c:pt idx="1">
                  <c:v>2458</c:v>
                </c:pt>
                <c:pt idx="2">
                  <c:v>2945</c:v>
                </c:pt>
                <c:pt idx="3">
                  <c:v>3062</c:v>
                </c:pt>
                <c:pt idx="4">
                  <c:v>3074</c:v>
                </c:pt>
                <c:pt idx="5">
                  <c:v>2845</c:v>
                </c:pt>
                <c:pt idx="6">
                  <c:v>2408</c:v>
                </c:pt>
                <c:pt idx="7">
                  <c:v>2200</c:v>
                </c:pt>
                <c:pt idx="8">
                  <c:v>1995</c:v>
                </c:pt>
                <c:pt idx="9">
                  <c:v>2119</c:v>
                </c:pt>
                <c:pt idx="10">
                  <c:v>2012</c:v>
                </c:pt>
                <c:pt idx="11">
                  <c:v>2518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25-46D2-ADED-40C7E38BE6A6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1486</c:v>
                </c:pt>
                <c:pt idx="1">
                  <c:v>1516</c:v>
                </c:pt>
                <c:pt idx="2">
                  <c:v>1401</c:v>
                </c:pt>
                <c:pt idx="3">
                  <c:v>1373</c:v>
                </c:pt>
                <c:pt idx="4">
                  <c:v>1368</c:v>
                </c:pt>
                <c:pt idx="5">
                  <c:v>1065</c:v>
                </c:pt>
                <c:pt idx="6">
                  <c:v>802</c:v>
                </c:pt>
                <c:pt idx="7">
                  <c:v>1027</c:v>
                </c:pt>
                <c:pt idx="8">
                  <c:v>1177</c:v>
                </c:pt>
                <c:pt idx="9">
                  <c:v>1392</c:v>
                </c:pt>
                <c:pt idx="10">
                  <c:v>1737</c:v>
                </c:pt>
                <c:pt idx="11">
                  <c:v>1762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25-46D2-ADED-40C7E38BE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2.9</c:v>
                </c:pt>
                <c:pt idx="1">
                  <c:v>2.9</c:v>
                </c:pt>
                <c:pt idx="2">
                  <c:v>3.1</c:v>
                </c:pt>
                <c:pt idx="3">
                  <c:v>3.2</c:v>
                </c:pt>
                <c:pt idx="4">
                  <c:v>3.2</c:v>
                </c:pt>
                <c:pt idx="5">
                  <c:v>2.8</c:v>
                </c:pt>
                <c:pt idx="6">
                  <c:v>2.2999999999999998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2.5</c:v>
                </c:pt>
                <c:pt idx="10">
                  <c:v>2.7</c:v>
                </c:pt>
                <c:pt idx="11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25-46D2-ADED-40C7E38BE6A6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1.1000000000000001</c:v>
                </c:pt>
                <c:pt idx="1">
                  <c:v>1.4</c:v>
                </c:pt>
                <c:pt idx="2">
                  <c:v>1.4</c:v>
                </c:pt>
                <c:pt idx="3">
                  <c:v>1.6</c:v>
                </c:pt>
                <c:pt idx="4">
                  <c:v>1.6</c:v>
                </c:pt>
                <c:pt idx="5">
                  <c:v>1.4</c:v>
                </c:pt>
                <c:pt idx="6">
                  <c:v>1.2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425-46D2-ADED-40C7E38BE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5">
          <a:lumMod val="75000"/>
        </a:schemeClr>
      </a:solidFill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Data'!$P$155:$P$166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</c:v>
                </c:pt>
                <c:pt idx="11">
                  <c:v>May</c:v>
                </c:pt>
              </c:strCache>
            </c:strRef>
          </c:cat>
          <c:val>
            <c:numRef>
              <c:f>'Monthly Stats Data'!$Q$155:$Q$166</c:f>
              <c:numCache>
                <c:formatCode>_(* #,##0_);_(* \(#,##0\);_(* "-"??_);_(@_)</c:formatCode>
                <c:ptCount val="12"/>
                <c:pt idx="0">
                  <c:v>4061</c:v>
                </c:pt>
                <c:pt idx="1">
                  <c:v>3974</c:v>
                </c:pt>
                <c:pt idx="2">
                  <c:v>4346</c:v>
                </c:pt>
                <c:pt idx="3">
                  <c:v>4435</c:v>
                </c:pt>
                <c:pt idx="4">
                  <c:v>4442</c:v>
                </c:pt>
                <c:pt idx="5">
                  <c:v>3910</c:v>
                </c:pt>
                <c:pt idx="6">
                  <c:v>3210</c:v>
                </c:pt>
                <c:pt idx="7">
                  <c:v>3227</c:v>
                </c:pt>
                <c:pt idx="8">
                  <c:v>3172</c:v>
                </c:pt>
                <c:pt idx="9">
                  <c:v>3511</c:v>
                </c:pt>
                <c:pt idx="10">
                  <c:v>3749</c:v>
                </c:pt>
                <c:pt idx="11">
                  <c:v>4280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12-4B4E-B3A9-9CEF2C262FD8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Data'!$P$155:$P$166</c:f>
              <c:strCache>
                <c:ptCount val="12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</c:v>
                </c:pt>
                <c:pt idx="11">
                  <c:v>May</c:v>
                </c:pt>
              </c:strCache>
            </c:strRef>
          </c:cat>
          <c:val>
            <c:numRef>
              <c:f>'Monthly Stats Data'!$T$155:$T$166</c:f>
              <c:numCache>
                <c:formatCode>_(* #,##0_);_(* \(#,##0\);_(* "-"??_);_(@_)</c:formatCode>
                <c:ptCount val="12"/>
                <c:pt idx="0">
                  <c:v>4325</c:v>
                </c:pt>
                <c:pt idx="1">
                  <c:v>4350</c:v>
                </c:pt>
                <c:pt idx="2">
                  <c:v>4025</c:v>
                </c:pt>
                <c:pt idx="3">
                  <c:v>3905</c:v>
                </c:pt>
                <c:pt idx="4">
                  <c:v>3880</c:v>
                </c:pt>
                <c:pt idx="5">
                  <c:v>4407</c:v>
                </c:pt>
                <c:pt idx="6">
                  <c:v>5100</c:v>
                </c:pt>
                <c:pt idx="7">
                  <c:v>5175</c:v>
                </c:pt>
                <c:pt idx="8">
                  <c:v>5265</c:v>
                </c:pt>
                <c:pt idx="9">
                  <c:v>4905</c:v>
                </c:pt>
                <c:pt idx="10">
                  <c:v>4635</c:v>
                </c:pt>
                <c:pt idx="11">
                  <c:v>4075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12-4B4E-B3A9-9CEF2C262F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5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7</cp:revision>
  <cp:lastPrinted>2025-06-13T21:05:00Z</cp:lastPrinted>
  <dcterms:created xsi:type="dcterms:W3CDTF">2025-06-10T19:49:00Z</dcterms:created>
  <dcterms:modified xsi:type="dcterms:W3CDTF">2025-06-13T21:06:00Z</dcterms:modified>
</cp:coreProperties>
</file>