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41023E1E" w:rsidR="00AD4C46" w:rsidRPr="000478F6" w:rsidRDefault="004F1CC0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September</w:t>
                            </w:r>
                            <w:r w:rsidR="002770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214D4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41023E1E" w:rsidR="00AD4C46" w:rsidRPr="000478F6" w:rsidRDefault="004F1CC0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September</w:t>
                      </w:r>
                      <w:r w:rsidR="002770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214D4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2425F6E5" w:rsidR="00127EF0" w:rsidRPr="00AD4C46" w:rsidRDefault="004F1CC0" w:rsidP="00AD4C46">
      <w:pPr>
        <w:pStyle w:val="Heading1"/>
      </w:pPr>
      <w:r>
        <w:t>August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>Sales</w:t>
      </w:r>
      <w:r w:rsidR="00C55548">
        <w:t xml:space="preserve"> Flat,</w:t>
      </w:r>
      <w:r w:rsidR="00681DC8" w:rsidRPr="00AD4C46">
        <w:t xml:space="preserve"> </w:t>
      </w:r>
      <w:r w:rsidR="002770E1">
        <w:t>Down</w:t>
      </w:r>
      <w:r w:rsidR="00737429">
        <w:t xml:space="preserve"> </w:t>
      </w:r>
      <w:r w:rsidR="002770E1">
        <w:t>0</w:t>
      </w:r>
      <w:r w:rsidR="00B347C2">
        <w:t>.</w:t>
      </w:r>
      <w:r>
        <w:t>3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23589E">
        <w:trPr>
          <w:trHeight w:val="447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1789B27A" w:rsidR="00E302C4" w:rsidRPr="002F2B80" w:rsidRDefault="004F1CC0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>August</w:t>
            </w:r>
            <w:r w:rsidR="0023589E">
              <w:rPr>
                <w:sz w:val="24"/>
                <w:szCs w:val="24"/>
              </w:rPr>
              <w:t xml:space="preserve"> </w:t>
            </w:r>
            <w:r w:rsidR="00C55548">
              <w:rPr>
                <w:sz w:val="24"/>
                <w:szCs w:val="24"/>
              </w:rPr>
              <w:t xml:space="preserve">Slightly </w:t>
            </w:r>
            <w:r w:rsidR="0023589E">
              <w:rPr>
                <w:sz w:val="24"/>
                <w:szCs w:val="24"/>
              </w:rPr>
              <w:t xml:space="preserve">Down, But </w:t>
            </w:r>
            <w:r w:rsidR="00C547F1">
              <w:rPr>
                <w:sz w:val="24"/>
                <w:szCs w:val="24"/>
              </w:rPr>
              <w:t xml:space="preserve">Sales </w:t>
            </w:r>
            <w:r w:rsidR="008A58D4">
              <w:rPr>
                <w:sz w:val="24"/>
                <w:szCs w:val="24"/>
              </w:rPr>
              <w:t xml:space="preserve">Ahead of </w:t>
            </w:r>
            <w:r w:rsidR="00737429">
              <w:rPr>
                <w:sz w:val="24"/>
                <w:szCs w:val="24"/>
              </w:rPr>
              <w:t>2024</w:t>
            </w:r>
            <w:r w:rsidR="008A58D4">
              <w:rPr>
                <w:sz w:val="24"/>
                <w:szCs w:val="24"/>
              </w:rPr>
              <w:t xml:space="preserve"> </w:t>
            </w:r>
            <w:r w:rsidR="0023589E">
              <w:rPr>
                <w:sz w:val="24"/>
                <w:szCs w:val="24"/>
              </w:rPr>
              <w:t xml:space="preserve">YTD </w:t>
            </w:r>
            <w:r w:rsidR="008A58D4">
              <w:rPr>
                <w:sz w:val="24"/>
                <w:szCs w:val="24"/>
              </w:rPr>
              <w:t xml:space="preserve">by </w:t>
            </w:r>
            <w:r>
              <w:rPr>
                <w:sz w:val="24"/>
                <w:szCs w:val="24"/>
              </w:rPr>
              <w:t>0</w:t>
            </w:r>
            <w:r w:rsidR="008A58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="008A58D4">
              <w:rPr>
                <w:sz w:val="24"/>
                <w:szCs w:val="24"/>
              </w:rPr>
              <w:t xml:space="preserve">% 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4CD7270F" w:rsidR="00E302C4" w:rsidRPr="007B1281" w:rsidRDefault="00105C96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Inventory of Available Homes is Being Absorbed Quickly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57A3D831" w:rsidR="00E302C4" w:rsidRPr="002F2B80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 w:rsidR="002B783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.9</w:t>
            </w:r>
            <w:r w:rsidRPr="008C345B">
              <w:rPr>
                <w:sz w:val="24"/>
                <w:szCs w:val="24"/>
              </w:rPr>
              <w:t>%, Averaging $4</w:t>
            </w:r>
            <w:r w:rsidR="002B783D">
              <w:rPr>
                <w:sz w:val="24"/>
                <w:szCs w:val="24"/>
              </w:rPr>
              <w:t>48</w:t>
            </w:r>
            <w:r w:rsidRPr="008C345B">
              <w:rPr>
                <w:sz w:val="24"/>
                <w:szCs w:val="24"/>
              </w:rPr>
              <w:t>,</w:t>
            </w:r>
            <w:r w:rsidR="002B783D">
              <w:rPr>
                <w:sz w:val="24"/>
                <w:szCs w:val="24"/>
              </w:rPr>
              <w:t>898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F264CF" w:rsidRPr="00627017" w14:paraId="4EF55532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0E9138D3" w:rsidR="00F264CF" w:rsidRPr="00D42F01" w:rsidRDefault="004F1CC0" w:rsidP="004447BA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August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8A58D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345ACC8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4708A7DF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9F28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2B783D" w:rsidRPr="00627017" w14:paraId="1AA23907" w14:textId="77777777" w:rsidTr="000D167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6BA9820F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882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B6FA7B2" w14:textId="5BDEC713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158140DE" w14:textId="5A37BB83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-4.3%</w:t>
            </w:r>
          </w:p>
        </w:tc>
      </w:tr>
      <w:tr w:rsidR="002B783D" w:rsidRPr="00627017" w14:paraId="57BCDE15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476A363A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6D704568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79D8F09C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</w:tr>
      <w:tr w:rsidR="002B783D" w:rsidRPr="00627017" w14:paraId="355A5DBE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40666780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AD890D5" w14:textId="3B9DB3EC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1391152" w14:textId="6D283ACE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-22.0%</w:t>
            </w:r>
          </w:p>
        </w:tc>
      </w:tr>
      <w:tr w:rsidR="002B783D" w:rsidRPr="00627017" w14:paraId="64E87CC5" w14:textId="77777777" w:rsidTr="000D167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274CA350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2F4B4ACA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4D07A5AA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28.2%</w:t>
            </w:r>
          </w:p>
        </w:tc>
      </w:tr>
      <w:tr w:rsidR="002B783D" w:rsidRPr="00627017" w14:paraId="45CEE296" w14:textId="77777777" w:rsidTr="000D167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6452E652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1,646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0732E" w14:textId="42C76EDD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1,641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3E2FAB64" w14:textId="0CFAF54C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-0.3%</w:t>
            </w:r>
          </w:p>
        </w:tc>
      </w:tr>
      <w:tr w:rsidR="009B1B42" w:rsidRPr="00627017" w14:paraId="619B4396" w14:textId="77777777" w:rsidTr="008A58D4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5C992EAE" w:rsidR="009B1B42" w:rsidRPr="00627017" w:rsidRDefault="009B1B42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  <w:tr w:rsidR="002B783D" w:rsidRPr="00627017" w14:paraId="68627583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0A1DD866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2084A6E" w14:textId="3EC82980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1BC8" w14:textId="5DADA78C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12.6%</w:t>
            </w:r>
          </w:p>
        </w:tc>
      </w:tr>
      <w:tr w:rsidR="002B783D" w:rsidRPr="00627017" w14:paraId="43BFC7D0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56842816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2E9CA17D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7FFDD8FF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6.5%</w:t>
            </w:r>
          </w:p>
        </w:tc>
      </w:tr>
      <w:tr w:rsidR="002B783D" w:rsidRPr="00627017" w14:paraId="74C7B9C3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25C8DD79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EC2C9D9" w14:textId="6396656E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1C6701C" w14:textId="69505C01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-1.8%</w:t>
            </w:r>
          </w:p>
        </w:tc>
      </w:tr>
      <w:tr w:rsidR="002B783D" w:rsidRPr="00627017" w14:paraId="719D3710" w14:textId="77777777" w:rsidTr="00EC5E6C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2B783D" w:rsidRPr="00627017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0AC833E5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38483E" w14:textId="475C5449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57991877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-2.5%</w:t>
            </w:r>
          </w:p>
        </w:tc>
      </w:tr>
      <w:tr w:rsidR="002B783D" w:rsidRPr="00627017" w14:paraId="72FD5738" w14:textId="77777777" w:rsidTr="00EC5E6C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EAF2" w14:textId="39BEC7D7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2,315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FD24" w14:textId="53052A82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2,332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2DF1389" w14:textId="19C97E57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0.7%</w:t>
            </w:r>
          </w:p>
        </w:tc>
      </w:tr>
      <w:tr w:rsidR="004447BA" w:rsidRPr="00627017" w14:paraId="712B34D7" w14:textId="77777777" w:rsidTr="008A58D4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7D36" w14:textId="7F7D6595" w:rsidR="004447BA" w:rsidRDefault="004F1CC0" w:rsidP="004447BA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August</w:t>
            </w:r>
            <w:r w:rsidR="004447BA"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4447BA" w:rsidRPr="00627017" w14:paraId="5C3D2A5B" w14:textId="77777777" w:rsidTr="008A58D4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8BD" w14:textId="5F2091FF" w:rsidR="004447BA" w:rsidRDefault="004447BA" w:rsidP="004447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1E24" w14:textId="7F8DBE5F" w:rsidR="004447BA" w:rsidRDefault="004447BA" w:rsidP="004447B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F63F662" w14:textId="7BCD4170" w:rsidR="004447BA" w:rsidRDefault="004447BA" w:rsidP="004447B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8F00D5A" w14:textId="0C545A81" w:rsidR="004447BA" w:rsidRDefault="004447BA" w:rsidP="004447BA">
            <w:pPr>
              <w:spacing w:line="252" w:lineRule="auto"/>
              <w:ind w:right="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2B783D" w:rsidRPr="00627017" w14:paraId="3FF3BB1D" w14:textId="77777777" w:rsidTr="00392575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3DB" w14:textId="104C2B96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BA50" w14:textId="4373BB82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DE459EA" w14:textId="2C3CAA2A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</w:tcPr>
          <w:p w14:paraId="4C5A5174" w14:textId="1EF4F1D0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-1.9%</w:t>
            </w:r>
          </w:p>
        </w:tc>
      </w:tr>
      <w:tr w:rsidR="002B783D" w:rsidRPr="00627017" w14:paraId="22C9FB69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A97" w14:textId="5530E04C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852B" w14:textId="75755254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FC92F2" w14:textId="44650455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9E1CF6" w14:textId="02B9E97F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-7.5%</w:t>
            </w:r>
          </w:p>
        </w:tc>
      </w:tr>
      <w:tr w:rsidR="002B783D" w:rsidRPr="00627017" w14:paraId="4E4DD0B2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CF6" w14:textId="4F19B666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EDC5" w14:textId="6450DC67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D62508C" w14:textId="4277C700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FB8C441" w14:textId="6DF5BE6C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-18.2%</w:t>
            </w:r>
          </w:p>
        </w:tc>
      </w:tr>
      <w:tr w:rsidR="002B783D" w:rsidRPr="00627017" w14:paraId="4B992F1A" w14:textId="77777777" w:rsidTr="00392575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44" w14:textId="28774B63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4A3" w14:textId="4C2F5AC9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16F505F" w14:textId="47C0A584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66B4094" w14:textId="78A52B6D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-9.7%</w:t>
            </w:r>
          </w:p>
        </w:tc>
      </w:tr>
      <w:tr w:rsidR="002B783D" w:rsidRPr="00627017" w14:paraId="72D24EE2" w14:textId="77777777" w:rsidTr="00392575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16F" w14:textId="0393D0C3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35A" w14:textId="0AF3FB6F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2,120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FE06B" w14:textId="4D6A887D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2,010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2B131DA" w14:textId="1012EB63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-5.2%</w:t>
            </w:r>
          </w:p>
        </w:tc>
      </w:tr>
      <w:tr w:rsidR="004447BA" w:rsidRPr="00627017" w14:paraId="3443F696" w14:textId="77777777" w:rsidTr="008A58D4">
        <w:trPr>
          <w:trHeight w:val="8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CDB1" w14:textId="77777777" w:rsidR="004447BA" w:rsidRPr="004447BA" w:rsidRDefault="004447BA" w:rsidP="009B1B42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B783D" w:rsidRPr="00627017" w14:paraId="78B894F1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B447" w14:textId="0003DFC4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Sheboygan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D63E" w14:textId="0F9E4499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6E1E92F" w14:textId="182474B6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3BB6FAF" w14:textId="52AB58D6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-27.2%</w:t>
            </w:r>
          </w:p>
        </w:tc>
      </w:tr>
      <w:tr w:rsidR="002B783D" w:rsidRPr="00627017" w14:paraId="27AC214E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6008" w14:textId="2FAC1288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464" w14:textId="38887DC3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59FF718" w14:textId="23BF462D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4D70372" w14:textId="5953CB7E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-9.3%</w:t>
            </w:r>
          </w:p>
        </w:tc>
      </w:tr>
      <w:tr w:rsidR="002B783D" w:rsidRPr="00627017" w14:paraId="04B4F940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DED" w14:textId="774FCB50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7911" w14:textId="1F8CB0EB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81177A4" w14:textId="0C91FEAE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12788BA" w14:textId="61CA98FD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-10.3%</w:t>
            </w:r>
          </w:p>
        </w:tc>
      </w:tr>
      <w:tr w:rsidR="002B783D" w:rsidRPr="00627017" w14:paraId="2798AD5E" w14:textId="77777777" w:rsidTr="00F017D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DA3" w14:textId="4B37B6E8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2841" w14:textId="4A5F6932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B3A30FD" w14:textId="2145F42D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76188D" w14:textId="2A2C169D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-2.0%</w:t>
            </w:r>
          </w:p>
        </w:tc>
      </w:tr>
      <w:tr w:rsidR="002B783D" w:rsidRPr="00627017" w14:paraId="6FEAB730" w14:textId="77777777" w:rsidTr="00F017D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E50B" w14:textId="3370C7A9" w:rsidR="002B783D" w:rsidRDefault="002B783D" w:rsidP="002B783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color w:val="000000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9602" w14:textId="6C02BCC6" w:rsidR="002B783D" w:rsidRPr="002B783D" w:rsidRDefault="002B783D" w:rsidP="002B783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2,965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8C1B7" w14:textId="65D284AF" w:rsidR="002B783D" w:rsidRPr="002B783D" w:rsidRDefault="002B783D" w:rsidP="002B783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2,764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31C4E0B" w14:textId="20B2CA1A" w:rsidR="002B783D" w:rsidRPr="002B783D" w:rsidRDefault="002B783D" w:rsidP="002B783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783D">
              <w:rPr>
                <w:rFonts w:ascii="Arial" w:hAnsi="Arial" w:cs="Arial"/>
                <w:sz w:val="20"/>
                <w:szCs w:val="20"/>
              </w:rPr>
              <w:t>-6.8%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BC98FD0" w14:textId="2094614E" w:rsidR="004204E0" w:rsidRDefault="0077154C" w:rsidP="00F84C72">
      <w:r w:rsidRPr="0077154C">
        <w:t xml:space="preserve">Home sales </w:t>
      </w:r>
      <w:r w:rsidR="009A06EB">
        <w:t xml:space="preserve">for </w:t>
      </w:r>
      <w:r w:rsidR="004F1CC0">
        <w:t>August</w:t>
      </w:r>
      <w:r w:rsidR="009A06EB">
        <w:t xml:space="preserve"> </w:t>
      </w:r>
      <w:r w:rsidRPr="0077154C">
        <w:t xml:space="preserve">in the Metropolitan Milwaukee market </w:t>
      </w:r>
      <w:r w:rsidR="009A06EB">
        <w:t xml:space="preserve">were </w:t>
      </w:r>
      <w:r w:rsidR="00C55548">
        <w:t xml:space="preserve">essentially flat </w:t>
      </w:r>
      <w:r w:rsidR="009A06EB">
        <w:t>from</w:t>
      </w:r>
      <w:r w:rsidR="00167B6A">
        <w:t xml:space="preserve"> August</w:t>
      </w:r>
      <w:r w:rsidR="00737429">
        <w:t xml:space="preserve"> 2024</w:t>
      </w:r>
      <w:r w:rsidR="00C55548">
        <w:t>, down 0.3%</w:t>
      </w:r>
      <w:r w:rsidR="00737429">
        <w:t xml:space="preserve">. </w:t>
      </w:r>
    </w:p>
    <w:p w14:paraId="51259630" w14:textId="77777777" w:rsidR="004204E0" w:rsidRDefault="004204E0" w:rsidP="00F84C72"/>
    <w:p w14:paraId="0EE6F541" w14:textId="77777777" w:rsidR="002E3AD7" w:rsidRDefault="00C55548" w:rsidP="00F84C72">
      <w:r>
        <w:t xml:space="preserve">Year-to-date the market has been fairly flat as well, with 2025 just 0.9% </w:t>
      </w:r>
      <w:r w:rsidR="002E3AD7">
        <w:t xml:space="preserve">(98 units) </w:t>
      </w:r>
      <w:r>
        <w:t xml:space="preserve">ahead of 2024. </w:t>
      </w:r>
    </w:p>
    <w:p w14:paraId="488AEA26" w14:textId="77777777" w:rsidR="002E3AD7" w:rsidRDefault="002E3AD7" w:rsidP="00F84C72"/>
    <w:p w14:paraId="23730F91" w14:textId="0793548B" w:rsidR="003B6809" w:rsidRDefault="003B6809" w:rsidP="003B6809">
      <w:r>
        <w:t>There</w:t>
      </w:r>
      <w:r>
        <w:t xml:space="preserve"> i</w:t>
      </w:r>
      <w:r>
        <w:t xml:space="preserve">s an interesting trend in the housing market that shows just how strong buyer demand is. Over the past two years, total inventory has inched up, reaching 3.3 months in August </w:t>
      </w:r>
      <w:r>
        <w:t>–</w:t>
      </w:r>
      <w:r>
        <w:t xml:space="preserve"> one of the highest levels since 2020.</w:t>
      </w:r>
    </w:p>
    <w:p w14:paraId="1028F6CF" w14:textId="77777777" w:rsidR="003B6809" w:rsidRDefault="003B6809" w:rsidP="003B6809"/>
    <w:p w14:paraId="0E912178" w14:textId="77777777" w:rsidR="003B6809" w:rsidRDefault="003B6809" w:rsidP="003B6809">
      <w:r>
        <w:t>But when we look only at homes that don’t already have an offer, inventory drops to just 1.6 months. That number hasn’t been higher than 1.6 months since 2019.</w:t>
      </w:r>
    </w:p>
    <w:p w14:paraId="70BDA9E5" w14:textId="77777777" w:rsidR="003B6809" w:rsidRDefault="003B6809" w:rsidP="003B6809"/>
    <w:p w14:paraId="68A3BE7A" w14:textId="5B78E9FF" w:rsidR="00105C96" w:rsidRDefault="003B6809" w:rsidP="00F84C72">
      <w:r>
        <w:t xml:space="preserve">In other words, </w:t>
      </w:r>
      <w:r w:rsidR="00105C96">
        <w:t xml:space="preserve">even though </w:t>
      </w:r>
      <w:r w:rsidR="000C61E3">
        <w:t>we see more listings come on the market</w:t>
      </w:r>
      <w:r w:rsidR="00105C96">
        <w:t>, most are being snatched</w:t>
      </w:r>
      <w:r w:rsidR="000C61E3">
        <w:t xml:space="preserve">. </w:t>
      </w:r>
      <w:r w:rsidR="00EF544D">
        <w:t>Th</w:t>
      </w:r>
      <w:r w:rsidR="00105C96">
        <w:t>e total inventory number is rising, but buyers are placing offers on most of those properties, pushing the inventory level of houses without offers down to 1.6 months.</w:t>
      </w:r>
      <w:r>
        <w:t xml:space="preserve"> </w:t>
      </w:r>
    </w:p>
    <w:p w14:paraId="62E29774" w14:textId="77777777" w:rsidR="00105C96" w:rsidRDefault="00105C96" w:rsidP="00F84C72"/>
    <w:p w14:paraId="29C5439D" w14:textId="2C2B2E35" w:rsidR="00603D57" w:rsidRDefault="005F59F9" w:rsidP="00F84C72">
      <w:r>
        <w:t>Another gauge of high demand is pricing. And there again</w:t>
      </w:r>
      <w:r w:rsidR="00105C96">
        <w:t>,</w:t>
      </w:r>
      <w:r>
        <w:t xml:space="preserve"> </w:t>
      </w:r>
      <w:r w:rsidR="00603D57">
        <w:t>due to high demand</w:t>
      </w:r>
      <w:r w:rsidR="00105C96">
        <w:t>,</w:t>
      </w:r>
      <w:r w:rsidR="00603D57">
        <w:t xml:space="preserve"> </w:t>
      </w:r>
      <w:r>
        <w:t xml:space="preserve">prices </w:t>
      </w:r>
      <w:r w:rsidR="00603D57">
        <w:t xml:space="preserve">rose </w:t>
      </w:r>
      <w:r>
        <w:t xml:space="preserve">5.9% to an average </w:t>
      </w:r>
      <w:r w:rsidR="00603D57">
        <w:t xml:space="preserve">price </w:t>
      </w:r>
      <w:r>
        <w:t xml:space="preserve">of $448,898 in August. </w:t>
      </w:r>
    </w:p>
    <w:p w14:paraId="2CF70E88" w14:textId="77777777" w:rsidR="00105C96" w:rsidRDefault="00105C96" w:rsidP="00F84C72"/>
    <w:p w14:paraId="36202F20" w14:textId="63C37F42" w:rsidR="00603D57" w:rsidRDefault="00603D57" w:rsidP="00F84C72">
      <w:r>
        <w:lastRenderedPageBreak/>
        <w:t xml:space="preserve">Ideally, we would like to see inventory levels somewhere in the </w:t>
      </w:r>
      <w:r w:rsidR="00821B5B">
        <w:t>6-month</w:t>
      </w:r>
      <w:r>
        <w:t xml:space="preserve"> range, which would provide a wider selection for buyers to choose from, </w:t>
      </w:r>
      <w:r w:rsidR="00821B5B">
        <w:t xml:space="preserve">price </w:t>
      </w:r>
      <w:r>
        <w:t>moderat</w:t>
      </w:r>
      <w:r w:rsidR="00821B5B">
        <w:t>ion</w:t>
      </w:r>
      <w:r>
        <w:t xml:space="preserve">, and offer more time for buyers to </w:t>
      </w:r>
      <w:r w:rsidR="00E55433">
        <w:t>decide</w:t>
      </w:r>
      <w:r>
        <w:t xml:space="preserve"> on a home. </w:t>
      </w:r>
    </w:p>
    <w:p w14:paraId="621FFD59" w14:textId="77777777" w:rsidR="00603D57" w:rsidRDefault="00603D57" w:rsidP="00F84C72"/>
    <w:p w14:paraId="58FF2754" w14:textId="000D3AC8" w:rsidR="00200CBB" w:rsidRDefault="00821B5B" w:rsidP="00070E50">
      <w:r>
        <w:t>However, t</w:t>
      </w:r>
      <w:r w:rsidR="00603D57">
        <w:t xml:space="preserve">he Metropolitan area </w:t>
      </w:r>
      <w:r w:rsidR="0023589E">
        <w:t xml:space="preserve">needs an additional </w:t>
      </w:r>
      <w:r w:rsidR="00603D57">
        <w:t>3</w:t>
      </w:r>
      <w:r w:rsidR="0023589E">
        <w:t>,</w:t>
      </w:r>
      <w:r w:rsidR="00603D57">
        <w:t>840</w:t>
      </w:r>
      <w:r w:rsidR="0023589E">
        <w:t xml:space="preserve"> units </w:t>
      </w:r>
      <w:r w:rsidR="00603D57">
        <w:t xml:space="preserve">right now </w:t>
      </w:r>
      <w:r w:rsidR="0023589E">
        <w:t>to reach that threshold</w:t>
      </w:r>
      <w:r>
        <w:t>, and so far in 2025 only about 1,000 units have been built</w:t>
      </w:r>
      <w:r w:rsidR="0023589E">
        <w:t xml:space="preserve">. </w:t>
      </w:r>
    </w:p>
    <w:p w14:paraId="123E4D90" w14:textId="77777777" w:rsidR="00200CBB" w:rsidRDefault="00200CBB" w:rsidP="00070E50"/>
    <w:p w14:paraId="3F7E52C8" w14:textId="67B8498F" w:rsidR="00662485" w:rsidRDefault="002B783D" w:rsidP="008C345B">
      <w:r w:rsidRPr="002B783D">
        <w:rPr>
          <w:noProof/>
        </w:rPr>
        <w:drawing>
          <wp:anchor distT="0" distB="0" distL="114300" distR="114300" simplePos="0" relativeHeight="251674624" behindDoc="0" locked="0" layoutInCell="1" allowOverlap="1" wp14:anchorId="6A555EDC" wp14:editId="26BA70B2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4114800" cy="3042920"/>
            <wp:effectExtent l="0" t="0" r="0" b="5080"/>
            <wp:wrapSquare wrapText="bothSides"/>
            <wp:docPr id="53586374" name="Picture 1" descr="A graph of sales by property ty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6374" name="Picture 1" descr="A graph of sales by property type&#10;&#10;AI-generated content may be incorrect.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504">
        <w:t>Th</w:t>
      </w:r>
      <w:r w:rsidR="001F1FB1">
        <w:t xml:space="preserve">e demand side of the equation is </w:t>
      </w:r>
      <w:r w:rsidR="006626BD">
        <w:t xml:space="preserve">a </w:t>
      </w:r>
      <w:r w:rsidR="001F1FB1">
        <w:t xml:space="preserve">circumstance of </w:t>
      </w:r>
      <w:r w:rsidR="006626BD">
        <w:t xml:space="preserve">generational </w:t>
      </w:r>
      <w:r w:rsidR="001F1FB1">
        <w:t>pressures as</w:t>
      </w:r>
      <w:r w:rsidR="006626BD">
        <w:t xml:space="preserve"> Millennial and Gen Z first-time </w:t>
      </w:r>
      <w:r w:rsidR="00662485">
        <w:t xml:space="preserve">buyers </w:t>
      </w:r>
      <w:r w:rsidR="001F1FB1">
        <w:t xml:space="preserve">compete with </w:t>
      </w:r>
      <w:r w:rsidR="006626BD">
        <w:t xml:space="preserve">Baby Boomer </w:t>
      </w:r>
      <w:r w:rsidR="00662485">
        <w:t>Empty Nesters</w:t>
      </w:r>
      <w:r w:rsidR="006626BD">
        <w:t xml:space="preserve"> in the market at the same time</w:t>
      </w:r>
      <w:r w:rsidR="00662485">
        <w:t>.</w:t>
      </w:r>
    </w:p>
    <w:p w14:paraId="60762BA5" w14:textId="4816D051" w:rsidR="008C345B" w:rsidRDefault="008C345B" w:rsidP="00D46FAC"/>
    <w:p w14:paraId="550827F1" w14:textId="49E8624C" w:rsidR="00E65D35" w:rsidRDefault="002B783D" w:rsidP="003244DA">
      <w:pPr>
        <w:ind w:right="-180"/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7CFCC3D1" wp14:editId="4BDE6BEE">
            <wp:simplePos x="0" y="0"/>
            <wp:positionH relativeFrom="column">
              <wp:posOffset>3780790</wp:posOffset>
            </wp:positionH>
            <wp:positionV relativeFrom="paragraph">
              <wp:posOffset>870585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21"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</w:t>
      </w:r>
      <w:r w:rsidR="00E55433">
        <w:t>condominiums</w:t>
      </w:r>
      <w:r w:rsidR="003244DA">
        <w:t xml:space="preserve"> and single-family houses. </w:t>
      </w:r>
    </w:p>
    <w:p w14:paraId="47D8F696" w14:textId="4D3B3AD6" w:rsidR="00E65D35" w:rsidRDefault="00E65D35" w:rsidP="003244DA">
      <w:pPr>
        <w:ind w:right="-180"/>
      </w:pPr>
    </w:p>
    <w:p w14:paraId="4E012A29" w14:textId="18F09C68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3DCEC3AB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6C6A5D4A" w14:textId="77777777" w:rsidR="003244DA" w:rsidRPr="00985B7F" w:rsidRDefault="003244DA" w:rsidP="008E4E9F">
      <w:pPr>
        <w:pStyle w:val="ParagraphIntro"/>
        <w:spacing w:after="60"/>
      </w:pPr>
      <w:r w:rsidRPr="00985B7F">
        <w:t>Where to go</w:t>
      </w:r>
    </w:p>
    <w:p w14:paraId="4789C15D" w14:textId="77777777" w:rsidR="003244DA" w:rsidRPr="00627017" w:rsidRDefault="003244DA" w:rsidP="008E4E9F">
      <w:pPr>
        <w:ind w:right="-180"/>
      </w:pPr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8A0504" w:rsidRDefault="003244DA" w:rsidP="003244DA">
      <w:pPr>
        <w:rPr>
          <w:sz w:val="16"/>
          <w:szCs w:val="16"/>
        </w:rPr>
      </w:pPr>
    </w:p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8A0504" w:rsidRDefault="003244DA" w:rsidP="003244DA">
      <w:pPr>
        <w:rPr>
          <w:sz w:val="16"/>
          <w:szCs w:val="16"/>
        </w:rPr>
      </w:pPr>
    </w:p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8A0504" w:rsidRDefault="003244DA" w:rsidP="003244DA">
      <w:pPr>
        <w:rPr>
          <w:sz w:val="16"/>
          <w:szCs w:val="16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57FA9B6E" w14:textId="6531DA4C" w:rsidR="00722A43" w:rsidRDefault="00722A43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</w:p>
    <w:p w14:paraId="5C648A32" w14:textId="77777777" w:rsidR="001B41B1" w:rsidRDefault="001B41B1" w:rsidP="004E6698">
      <w:pPr>
        <w:spacing w:after="120" w:line="300" w:lineRule="auto"/>
      </w:pPr>
    </w:p>
    <w:p w14:paraId="20632FB6" w14:textId="77777777" w:rsidR="00821B5B" w:rsidRDefault="00821B5B" w:rsidP="00821B5B">
      <w:pPr>
        <w:spacing w:after="120" w:line="300" w:lineRule="auto"/>
        <w:jc w:val="center"/>
      </w:pPr>
      <w:r>
        <w:rPr>
          <w:noProof/>
        </w:rPr>
        <w:lastRenderedPageBreak/>
        <w:drawing>
          <wp:inline distT="0" distB="0" distL="0" distR="0" wp14:anchorId="1E45E613" wp14:editId="73A3E69F">
            <wp:extent cx="5645432" cy="3269685"/>
            <wp:effectExtent l="0" t="0" r="12700" b="6985"/>
            <wp:docPr id="10441479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43146DA" w14:textId="77777777" w:rsidR="00821B5B" w:rsidRDefault="00821B5B" w:rsidP="00821B5B">
      <w:pPr>
        <w:spacing w:after="120" w:line="300" w:lineRule="auto"/>
        <w:ind w:left="270" w:right="270"/>
      </w:pPr>
    </w:p>
    <w:p w14:paraId="110124F7" w14:textId="58CAD391" w:rsidR="00FE2AA3" w:rsidRDefault="00752249" w:rsidP="00821B5B">
      <w:pPr>
        <w:spacing w:after="120" w:line="300" w:lineRule="auto"/>
        <w:ind w:left="270" w:right="270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4F1CC0">
        <w:rPr>
          <w:rStyle w:val="NormalCalloutText"/>
        </w:rPr>
        <w:t>August</w:t>
      </w:r>
      <w:r w:rsidR="0060287B" w:rsidRPr="00F84C72">
        <w:rPr>
          <w:rStyle w:val="NormalCalloutText"/>
        </w:rPr>
        <w:t xml:space="preserve"> was </w:t>
      </w:r>
      <w:r w:rsidR="00482F01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821B5B">
        <w:rPr>
          <w:rStyle w:val="NormalCalloutText"/>
        </w:rPr>
        <w:t>3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C960B7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821B5B">
        <w:rPr>
          <w:b/>
          <w:bCs/>
          <w:color w:val="203058"/>
        </w:rPr>
        <w:t>637</w:t>
      </w:r>
      <w:r w:rsidR="00200CBB">
        <w:rPr>
          <w:b/>
          <w:bCs/>
          <w:color w:val="203058"/>
        </w:rPr>
        <w:t xml:space="preserve"> </w:t>
      </w:r>
      <w:r w:rsidR="00FE2AA3" w:rsidRPr="00F84C72">
        <w:rPr>
          <w:rStyle w:val="NormalCalloutText"/>
        </w:rPr>
        <w:t xml:space="preserve">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821B5B">
        <w:rPr>
          <w:rStyle w:val="NormalCalloutText"/>
        </w:rPr>
        <w:t>6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821B5B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73DA790E" w:rsidR="00FE2AA3" w:rsidRDefault="00821B5B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1F6308E5" wp14:editId="1F9134CB">
            <wp:extent cx="5605074" cy="3040098"/>
            <wp:effectExtent l="0" t="0" r="15240" b="8255"/>
            <wp:docPr id="11274590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42CDF066" w:rsidR="00F84C72" w:rsidRPr="0087289E" w:rsidRDefault="004E6698" w:rsidP="00821B5B">
      <w:pPr>
        <w:spacing w:before="120" w:after="120" w:line="300" w:lineRule="auto"/>
        <w:ind w:left="270" w:right="270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C960B7">
        <w:t>4,</w:t>
      </w:r>
      <w:r w:rsidR="00821B5B">
        <w:t>612</w:t>
      </w:r>
      <w:r w:rsidRPr="00E65D35">
        <w:t xml:space="preserve"> current listings providing </w:t>
      </w:r>
      <w:r w:rsidR="00C960B7">
        <w:t>3</w:t>
      </w:r>
      <w:r w:rsidR="00E65D35" w:rsidRPr="00E65D35">
        <w:t>.</w:t>
      </w:r>
      <w:r w:rsidR="00821B5B">
        <w:t>3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821B5B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821B5B">
        <w:rPr>
          <w:rStyle w:val="NormalCalloutText"/>
        </w:rPr>
        <w:t>840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05A64822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2920FB" w:rsidSect="00A542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797A" w14:textId="77777777" w:rsidR="00FB26C9" w:rsidRDefault="00FB26C9" w:rsidP="003B327A">
      <w:r>
        <w:separator/>
      </w:r>
    </w:p>
  </w:endnote>
  <w:endnote w:type="continuationSeparator" w:id="0">
    <w:p w14:paraId="3F6092DC" w14:textId="77777777" w:rsidR="00FB26C9" w:rsidRDefault="00FB26C9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59D7" w14:textId="77777777" w:rsidR="00FB26C9" w:rsidRDefault="00FB26C9" w:rsidP="003B327A">
      <w:r>
        <w:separator/>
      </w:r>
    </w:p>
  </w:footnote>
  <w:footnote w:type="continuationSeparator" w:id="0">
    <w:p w14:paraId="1606FE2C" w14:textId="77777777" w:rsidR="00FB26C9" w:rsidRDefault="00FB26C9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0708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0E50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C61E3"/>
    <w:rsid w:val="000D0E85"/>
    <w:rsid w:val="000E0548"/>
    <w:rsid w:val="000E14E4"/>
    <w:rsid w:val="000E4CD9"/>
    <w:rsid w:val="000E646C"/>
    <w:rsid w:val="000E6502"/>
    <w:rsid w:val="000F21F9"/>
    <w:rsid w:val="0010266B"/>
    <w:rsid w:val="00105A82"/>
    <w:rsid w:val="00105C96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67B6A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7017"/>
    <w:rsid w:val="00200CBB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6695"/>
    <w:rsid w:val="002268AB"/>
    <w:rsid w:val="002311B5"/>
    <w:rsid w:val="00232416"/>
    <w:rsid w:val="0023346D"/>
    <w:rsid w:val="0023589E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0E1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B783D"/>
    <w:rsid w:val="002C0AE4"/>
    <w:rsid w:val="002C12CA"/>
    <w:rsid w:val="002C412A"/>
    <w:rsid w:val="002C639C"/>
    <w:rsid w:val="002D0230"/>
    <w:rsid w:val="002E3801"/>
    <w:rsid w:val="002E391A"/>
    <w:rsid w:val="002E3AD7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B6809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47BA"/>
    <w:rsid w:val="00445F1E"/>
    <w:rsid w:val="00450916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3A78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1C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36FC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5F59F9"/>
    <w:rsid w:val="00602021"/>
    <w:rsid w:val="0060287B"/>
    <w:rsid w:val="00603A94"/>
    <w:rsid w:val="00603D57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3772"/>
    <w:rsid w:val="006D54A8"/>
    <w:rsid w:val="006D6799"/>
    <w:rsid w:val="006E0511"/>
    <w:rsid w:val="006E0DB1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A1C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1B5B"/>
    <w:rsid w:val="00822622"/>
    <w:rsid w:val="00831E2B"/>
    <w:rsid w:val="00832D28"/>
    <w:rsid w:val="0083681A"/>
    <w:rsid w:val="00837EB5"/>
    <w:rsid w:val="00847102"/>
    <w:rsid w:val="00853C6E"/>
    <w:rsid w:val="00857CA5"/>
    <w:rsid w:val="00867510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0504"/>
    <w:rsid w:val="008A3DC3"/>
    <w:rsid w:val="008A58D4"/>
    <w:rsid w:val="008A6E66"/>
    <w:rsid w:val="008B059D"/>
    <w:rsid w:val="008B111B"/>
    <w:rsid w:val="008C1EA3"/>
    <w:rsid w:val="008C345B"/>
    <w:rsid w:val="008C6F6A"/>
    <w:rsid w:val="008D024B"/>
    <w:rsid w:val="008D2730"/>
    <w:rsid w:val="008D51A0"/>
    <w:rsid w:val="008D5219"/>
    <w:rsid w:val="008E494E"/>
    <w:rsid w:val="008E4E9F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D37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6EB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56A3B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5302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95A"/>
    <w:rsid w:val="00BD7E94"/>
    <w:rsid w:val="00BE0E5A"/>
    <w:rsid w:val="00BE4F46"/>
    <w:rsid w:val="00BF05EC"/>
    <w:rsid w:val="00BF0DA5"/>
    <w:rsid w:val="00BF155E"/>
    <w:rsid w:val="00BF1EAF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548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370"/>
    <w:rsid w:val="00E36750"/>
    <w:rsid w:val="00E37C15"/>
    <w:rsid w:val="00E4060D"/>
    <w:rsid w:val="00E4062C"/>
    <w:rsid w:val="00E40C3D"/>
    <w:rsid w:val="00E44884"/>
    <w:rsid w:val="00E456F1"/>
    <w:rsid w:val="00E45F2A"/>
    <w:rsid w:val="00E46188"/>
    <w:rsid w:val="00E4780C"/>
    <w:rsid w:val="00E51D7E"/>
    <w:rsid w:val="00E54BEE"/>
    <w:rsid w:val="00E55433"/>
    <w:rsid w:val="00E5715D"/>
    <w:rsid w:val="00E5727F"/>
    <w:rsid w:val="00E578C4"/>
    <w:rsid w:val="00E636E6"/>
    <w:rsid w:val="00E6481D"/>
    <w:rsid w:val="00E64AEC"/>
    <w:rsid w:val="00E65D35"/>
    <w:rsid w:val="00E660DD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EF544D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8B4"/>
    <w:rsid w:val="00F60C8B"/>
    <w:rsid w:val="00F677F0"/>
    <w:rsid w:val="00F67F9D"/>
    <w:rsid w:val="00F73353"/>
    <w:rsid w:val="00F75F7E"/>
    <w:rsid w:val="00F80C68"/>
    <w:rsid w:val="00F82539"/>
    <w:rsid w:val="00F828E6"/>
    <w:rsid w:val="00F84C72"/>
    <w:rsid w:val="00F90B4C"/>
    <w:rsid w:val="00F920AA"/>
    <w:rsid w:val="00F93942"/>
    <w:rsid w:val="00F95110"/>
    <w:rsid w:val="00FA099D"/>
    <w:rsid w:val="00FA724A"/>
    <w:rsid w:val="00FA7E88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3062</c:v>
                </c:pt>
                <c:pt idx="1">
                  <c:v>3074</c:v>
                </c:pt>
                <c:pt idx="2">
                  <c:v>2845</c:v>
                </c:pt>
                <c:pt idx="3">
                  <c:v>2408</c:v>
                </c:pt>
                <c:pt idx="4">
                  <c:v>2200</c:v>
                </c:pt>
                <c:pt idx="5">
                  <c:v>1995</c:v>
                </c:pt>
                <c:pt idx="6">
                  <c:v>2119</c:v>
                </c:pt>
                <c:pt idx="7">
                  <c:v>2012</c:v>
                </c:pt>
                <c:pt idx="8">
                  <c:v>2518</c:v>
                </c:pt>
                <c:pt idx="9">
                  <c:v>2920</c:v>
                </c:pt>
                <c:pt idx="10">
                  <c:v>2850</c:v>
                </c:pt>
                <c:pt idx="11">
                  <c:v>3190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96-490D-8BE6-93DD90385A35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1373</c:v>
                </c:pt>
                <c:pt idx="1">
                  <c:v>1368</c:v>
                </c:pt>
                <c:pt idx="2">
                  <c:v>1065</c:v>
                </c:pt>
                <c:pt idx="3">
                  <c:v>802</c:v>
                </c:pt>
                <c:pt idx="4">
                  <c:v>1027</c:v>
                </c:pt>
                <c:pt idx="5">
                  <c:v>1177</c:v>
                </c:pt>
                <c:pt idx="6">
                  <c:v>1392</c:v>
                </c:pt>
                <c:pt idx="7">
                  <c:v>1737</c:v>
                </c:pt>
                <c:pt idx="8">
                  <c:v>1762</c:v>
                </c:pt>
                <c:pt idx="9">
                  <c:v>1523</c:v>
                </c:pt>
                <c:pt idx="10">
                  <c:v>1586</c:v>
                </c:pt>
                <c:pt idx="11" formatCode="#,##0">
                  <c:v>1422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96-490D-8BE6-93DD90385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3.2</c:v>
                </c:pt>
                <c:pt idx="1">
                  <c:v>3.2</c:v>
                </c:pt>
                <c:pt idx="2">
                  <c:v>2.8</c:v>
                </c:pt>
                <c:pt idx="3">
                  <c:v>2.2999999999999998</c:v>
                </c:pt>
                <c:pt idx="4">
                  <c:v>2.2999999999999998</c:v>
                </c:pt>
                <c:pt idx="5">
                  <c:v>2.2999999999999998</c:v>
                </c:pt>
                <c:pt idx="6">
                  <c:v>2.5</c:v>
                </c:pt>
                <c:pt idx="7">
                  <c:v>2.7</c:v>
                </c:pt>
                <c:pt idx="8">
                  <c:v>3.1</c:v>
                </c:pt>
                <c:pt idx="9">
                  <c:v>3.2</c:v>
                </c:pt>
                <c:pt idx="10">
                  <c:v>3.1</c:v>
                </c:pt>
                <c:pt idx="11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A96-490D-8BE6-93DD90385A35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Sept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April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1.6</c:v>
                </c:pt>
                <c:pt idx="1">
                  <c:v>1.6</c:v>
                </c:pt>
                <c:pt idx="2">
                  <c:v>1.4</c:v>
                </c:pt>
                <c:pt idx="3">
                  <c:v>1.2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1.2</c:v>
                </c:pt>
                <c:pt idx="9">
                  <c:v>1.4</c:v>
                </c:pt>
                <c:pt idx="10">
                  <c:v>1.5</c:v>
                </c:pt>
                <c:pt idx="11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A96-490D-8BE6-93DD90385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Data'!$P$158:$P$169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Data'!$Q$158:$Q$169</c:f>
              <c:numCache>
                <c:formatCode>_(* #,##0_);_(* \(#,##0\);_(* "-"??_);_(@_)</c:formatCode>
                <c:ptCount val="12"/>
                <c:pt idx="0">
                  <c:v>4435</c:v>
                </c:pt>
                <c:pt idx="1">
                  <c:v>4442</c:v>
                </c:pt>
                <c:pt idx="2">
                  <c:v>3910</c:v>
                </c:pt>
                <c:pt idx="3">
                  <c:v>3210</c:v>
                </c:pt>
                <c:pt idx="4">
                  <c:v>3227</c:v>
                </c:pt>
                <c:pt idx="5">
                  <c:v>3172</c:v>
                </c:pt>
                <c:pt idx="6">
                  <c:v>3511</c:v>
                </c:pt>
                <c:pt idx="7">
                  <c:v>3749</c:v>
                </c:pt>
                <c:pt idx="8">
                  <c:v>4280</c:v>
                </c:pt>
                <c:pt idx="9">
                  <c:v>4443</c:v>
                </c:pt>
                <c:pt idx="10">
                  <c:v>4436</c:v>
                </c:pt>
                <c:pt idx="11">
                  <c:v>4612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00-42D1-8D91-92620C1DB197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Data'!$P$158:$P$169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Data'!$T$158:$T$169</c:f>
              <c:numCache>
                <c:formatCode>_(* #,##0_);_(* \(#,##0\);_(* "-"??_);_(@_)</c:formatCode>
                <c:ptCount val="12"/>
                <c:pt idx="0">
                  <c:v>3905</c:v>
                </c:pt>
                <c:pt idx="1">
                  <c:v>3880</c:v>
                </c:pt>
                <c:pt idx="2">
                  <c:v>4407</c:v>
                </c:pt>
                <c:pt idx="3">
                  <c:v>5100</c:v>
                </c:pt>
                <c:pt idx="4">
                  <c:v>5175</c:v>
                </c:pt>
                <c:pt idx="5">
                  <c:v>5265</c:v>
                </c:pt>
                <c:pt idx="6">
                  <c:v>4905</c:v>
                </c:pt>
                <c:pt idx="7">
                  <c:v>4635</c:v>
                </c:pt>
                <c:pt idx="8">
                  <c:v>4075</c:v>
                </c:pt>
                <c:pt idx="9">
                  <c:v>3910</c:v>
                </c:pt>
                <c:pt idx="10">
                  <c:v>4020</c:v>
                </c:pt>
                <c:pt idx="11">
                  <c:v>3840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00-42D1-8D91-92620C1DB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4</cp:revision>
  <cp:lastPrinted>2025-09-11T17:35:00Z</cp:lastPrinted>
  <dcterms:created xsi:type="dcterms:W3CDTF">2025-09-10T17:53:00Z</dcterms:created>
  <dcterms:modified xsi:type="dcterms:W3CDTF">2025-09-11T18:02:00Z</dcterms:modified>
</cp:coreProperties>
</file>