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7314090E" w:rsidR="00AD4C46" w:rsidRPr="000478F6" w:rsidRDefault="00EA401F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Dec</w:t>
                            </w:r>
                            <w:r w:rsidR="00042FD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em</w:t>
                            </w:r>
                            <w:r w:rsidR="0077044F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ber</w:t>
                            </w:r>
                            <w:r w:rsidR="002770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1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214D4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7314090E" w:rsidR="00AD4C46" w:rsidRPr="000478F6" w:rsidRDefault="00EA401F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Dec</w:t>
                      </w:r>
                      <w:r w:rsidR="00042FD4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em</w:t>
                      </w:r>
                      <w:r w:rsidR="0077044F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ber</w:t>
                      </w:r>
                      <w:r w:rsidR="002770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1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214D4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018E81A9" w:rsidR="00127EF0" w:rsidRPr="00AD4C46" w:rsidRDefault="00EA401F" w:rsidP="00AD4C46">
      <w:pPr>
        <w:pStyle w:val="Heading1"/>
      </w:pPr>
      <w:r>
        <w:t>November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>Sales</w:t>
      </w:r>
      <w:r w:rsidR="00C55548">
        <w:t xml:space="preserve"> </w:t>
      </w:r>
      <w:r w:rsidR="00AC4DAC">
        <w:t>Down 9</w:t>
      </w:r>
      <w:r w:rsidR="0077044F">
        <w:t>.</w:t>
      </w:r>
      <w:r w:rsidR="00AC4DAC">
        <w:t>2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80"/>
        <w:gridCol w:w="565"/>
      </w:tblGrid>
      <w:tr w:rsidR="00E913B2" w:rsidRPr="002F2B80" w14:paraId="24B40EB5" w14:textId="77777777" w:rsidTr="00607620">
        <w:trPr>
          <w:trHeight w:val="447"/>
        </w:trPr>
        <w:tc>
          <w:tcPr>
            <w:tcW w:w="9180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565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607620">
        <w:trPr>
          <w:gridAfter w:val="1"/>
          <w:wAfter w:w="565" w:type="dxa"/>
          <w:trHeight w:val="360"/>
        </w:trPr>
        <w:tc>
          <w:tcPr>
            <w:tcW w:w="9180" w:type="dxa"/>
            <w:vAlign w:val="center"/>
          </w:tcPr>
          <w:p w14:paraId="2AA4FD63" w14:textId="3E183BFB" w:rsidR="00E302C4" w:rsidRPr="002F2B80" w:rsidRDefault="00AC4DA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bookmarkStart w:id="1" w:name="_Hlk195533650"/>
            <w:r>
              <w:rPr>
                <w:sz w:val="24"/>
                <w:szCs w:val="24"/>
              </w:rPr>
              <w:t>Sales Were</w:t>
            </w:r>
            <w:r w:rsidR="00607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Down 9</w:t>
            </w:r>
            <w:r w:rsidR="006076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607620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 xml:space="preserve">in November </w:t>
            </w:r>
          </w:p>
        </w:tc>
      </w:tr>
      <w:tr w:rsidR="00E302C4" w:rsidRPr="002F2B80" w14:paraId="786D284B" w14:textId="77777777" w:rsidTr="00607620">
        <w:trPr>
          <w:gridAfter w:val="1"/>
          <w:wAfter w:w="565" w:type="dxa"/>
          <w:trHeight w:val="360"/>
        </w:trPr>
        <w:tc>
          <w:tcPr>
            <w:tcW w:w="9180" w:type="dxa"/>
            <w:vAlign w:val="center"/>
          </w:tcPr>
          <w:p w14:paraId="1B827FCA" w14:textId="790E7DF8" w:rsidR="00E302C4" w:rsidRPr="007B1281" w:rsidRDefault="00AC4DA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Listings Were Down 6.3% </w:t>
            </w:r>
            <w:r w:rsidR="00607620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607620">
        <w:trPr>
          <w:gridAfter w:val="1"/>
          <w:wAfter w:w="565" w:type="dxa"/>
          <w:trHeight w:val="360"/>
        </w:trPr>
        <w:tc>
          <w:tcPr>
            <w:tcW w:w="9180" w:type="dxa"/>
            <w:vAlign w:val="center"/>
          </w:tcPr>
          <w:p w14:paraId="0EAFC321" w14:textId="79EA7E81" w:rsidR="00E302C4" w:rsidRPr="002F2B80" w:rsidRDefault="007F6A1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Pr="008C345B">
              <w:rPr>
                <w:sz w:val="24"/>
                <w:szCs w:val="24"/>
              </w:rPr>
              <w:t xml:space="preserve">Prices Up </w:t>
            </w:r>
            <w:r w:rsidR="00AC4DAC">
              <w:rPr>
                <w:sz w:val="24"/>
                <w:szCs w:val="24"/>
              </w:rPr>
              <w:t>8.7</w:t>
            </w:r>
            <w:r w:rsidRPr="008C345B">
              <w:rPr>
                <w:sz w:val="24"/>
                <w:szCs w:val="24"/>
              </w:rPr>
              <w:t>%</w:t>
            </w:r>
            <w:r w:rsidR="00AC4DAC">
              <w:rPr>
                <w:sz w:val="24"/>
                <w:szCs w:val="24"/>
              </w:rPr>
              <w:t xml:space="preserve"> With </w:t>
            </w:r>
            <w:r w:rsidRPr="008C345B">
              <w:rPr>
                <w:sz w:val="24"/>
                <w:szCs w:val="24"/>
              </w:rPr>
              <w:t xml:space="preserve">Averaging </w:t>
            </w:r>
            <w:r w:rsidR="00607620">
              <w:rPr>
                <w:sz w:val="24"/>
                <w:szCs w:val="24"/>
              </w:rPr>
              <w:t xml:space="preserve">Sale Price </w:t>
            </w:r>
            <w:r w:rsidR="00AC4DAC">
              <w:rPr>
                <w:sz w:val="24"/>
                <w:szCs w:val="24"/>
              </w:rPr>
              <w:t>of</w:t>
            </w:r>
            <w:r w:rsidR="00607620">
              <w:rPr>
                <w:sz w:val="24"/>
                <w:szCs w:val="24"/>
              </w:rPr>
              <w:t xml:space="preserve"> </w:t>
            </w:r>
            <w:r w:rsidRPr="008C345B">
              <w:rPr>
                <w:sz w:val="24"/>
                <w:szCs w:val="24"/>
              </w:rPr>
              <w:t>$4</w:t>
            </w:r>
            <w:r w:rsidR="00AC4DAC">
              <w:rPr>
                <w:sz w:val="24"/>
                <w:szCs w:val="24"/>
              </w:rPr>
              <w:t>28</w:t>
            </w:r>
            <w:r w:rsidRPr="008C345B">
              <w:rPr>
                <w:sz w:val="24"/>
                <w:szCs w:val="24"/>
              </w:rPr>
              <w:t>,</w:t>
            </w:r>
            <w:r w:rsidR="00AC4DAC">
              <w:rPr>
                <w:sz w:val="24"/>
                <w:szCs w:val="24"/>
              </w:rPr>
              <w:t>531</w:t>
            </w:r>
            <w:r w:rsidR="00B60590">
              <w:rPr>
                <w:sz w:val="24"/>
                <w:szCs w:val="24"/>
              </w:rPr>
              <w:t xml:space="preserve"> </w:t>
            </w:r>
          </w:p>
        </w:tc>
      </w:tr>
      <w:bookmarkEnd w:id="1"/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F264CF" w:rsidRPr="00627017" w14:paraId="4EF55532" w14:textId="77777777" w:rsidTr="008A58D4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391F3712" w:rsidR="00F264CF" w:rsidRPr="00D42F01" w:rsidRDefault="00EA401F" w:rsidP="004447BA">
            <w:pPr>
              <w:spacing w:line="252" w:lineRule="auto"/>
              <w:ind w:left="-20" w:right="-1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November</w:t>
            </w:r>
            <w:r w:rsidR="00F264CF" w:rsidRPr="00D42F0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D05F0" w:rsidRPr="00D42F01">
              <w:rPr>
                <w:rFonts w:ascii="Arial" w:hAnsi="Arial" w:cs="Arial"/>
                <w:b/>
                <w:bCs/>
                <w:sz w:val="22"/>
              </w:rPr>
              <w:t>Sale</w:t>
            </w:r>
            <w:r w:rsidR="00043760" w:rsidRPr="00D42F01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</w:tr>
      <w:tr w:rsidR="00513B1A" w:rsidRPr="00627017" w14:paraId="41B9A98A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AC4DAC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345ACC8A" w:rsidR="00513B1A" w:rsidRPr="00627017" w:rsidRDefault="00513B1A" w:rsidP="00AC4DAC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4708A7DF" w:rsidR="00513B1A" w:rsidRPr="00627017" w:rsidRDefault="00513B1A" w:rsidP="00AC4DAC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AC4DAC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EA401F" w:rsidRPr="00627017" w14:paraId="1AA23907" w14:textId="77777777" w:rsidTr="00AC4DAC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112F323" w:rsidR="00EA401F" w:rsidRPr="00627017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3139" w14:textId="4F1CCF51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B6FA7B2" w14:textId="7BC2F707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158140DE" w14:textId="69A605B4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-9.2%</w:t>
            </w:r>
          </w:p>
        </w:tc>
      </w:tr>
      <w:tr w:rsidR="00EA401F" w:rsidRPr="00627017" w14:paraId="57BCDE15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A2A5A43" w:rsidR="00EA401F" w:rsidRPr="00627017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30A4" w14:textId="2299A0AF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89B2F76" w14:textId="366CEE65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478C224" w14:textId="523EBC1E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-9.3%</w:t>
            </w:r>
          </w:p>
        </w:tc>
      </w:tr>
      <w:tr w:rsidR="00EA401F" w:rsidRPr="00627017" w14:paraId="355A5DBE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BC528FC" w:rsidR="00EA401F" w:rsidRPr="00627017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F775" w14:textId="2A408798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890D5" w14:textId="484D235D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1152" w14:textId="44C96D04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-16.9%</w:t>
            </w:r>
          </w:p>
        </w:tc>
      </w:tr>
      <w:tr w:rsidR="00EA401F" w:rsidRPr="00627017" w14:paraId="64E87CC5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4DF0D63F" w:rsidR="00EA401F" w:rsidRPr="00627017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C7B0" w14:textId="7B194EFB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2E30A01" w14:textId="060A7CAF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B039E9B" w14:textId="3DD7E887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-3.1%</w:t>
            </w:r>
          </w:p>
        </w:tc>
      </w:tr>
      <w:tr w:rsidR="00EA401F" w:rsidRPr="00627017" w14:paraId="45CEE296" w14:textId="77777777" w:rsidTr="00AC4DA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7A275E9B" w:rsidR="00EA401F" w:rsidRPr="00627017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9C3C" w14:textId="696B9921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1,343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0732E" w14:textId="735A7DFC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1,220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AB64" w14:textId="25D69679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-9.2%</w:t>
            </w:r>
          </w:p>
        </w:tc>
      </w:tr>
      <w:tr w:rsidR="009B1B42" w:rsidRPr="00627017" w14:paraId="619B4396" w14:textId="77777777" w:rsidTr="00AC4DAC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5C992EAE" w:rsidR="009B1B42" w:rsidRPr="0077044F" w:rsidRDefault="009B1B42" w:rsidP="00AC4DAC">
            <w:pPr>
              <w:spacing w:line="252" w:lineRule="auto"/>
              <w:ind w:right="195"/>
              <w:rPr>
                <w:rFonts w:ascii="Arial" w:hAnsi="Arial" w:cs="Arial"/>
                <w:sz w:val="10"/>
                <w:szCs w:val="10"/>
              </w:rPr>
            </w:pPr>
            <w:r w:rsidRPr="0077044F">
              <w:rPr>
                <w:rFonts w:ascii="Arial" w:hAnsi="Arial" w:cs="Arial"/>
                <w:sz w:val="10"/>
                <w:szCs w:val="10"/>
              </w:rPr>
              <w:t> </w:t>
            </w:r>
          </w:p>
        </w:tc>
      </w:tr>
      <w:tr w:rsidR="00EA401F" w:rsidRPr="00627017" w14:paraId="68627583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608FCDDF" w:rsidR="00EA401F" w:rsidRPr="00627017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516A" w14:textId="7F9C8847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84A6E" w14:textId="2ED9EC5B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1BC8" w14:textId="1DD277AD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-16.1%</w:t>
            </w:r>
          </w:p>
        </w:tc>
      </w:tr>
      <w:tr w:rsidR="00EA401F" w:rsidRPr="00627017" w14:paraId="43BFC7D0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6F4B9541" w:rsidR="00EA401F" w:rsidRPr="00627017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F665" w14:textId="4A380299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3559378" w14:textId="6516D286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5074A72" w14:textId="4273B48E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-8.1%</w:t>
            </w:r>
          </w:p>
        </w:tc>
      </w:tr>
      <w:tr w:rsidR="00EA401F" w:rsidRPr="00627017" w14:paraId="74C7B9C3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37FC6789" w:rsidR="00EA401F" w:rsidRPr="00627017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E2C3" w14:textId="699615C1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2C9D9" w14:textId="0EBC503E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6701C" w14:textId="00A890A8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-9.3%</w:t>
            </w:r>
          </w:p>
        </w:tc>
      </w:tr>
      <w:tr w:rsidR="00EA401F" w:rsidRPr="00627017" w14:paraId="719D3710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13860387" w:rsidR="00EA401F" w:rsidRPr="00627017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20C1" w14:textId="7D0845B1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F38483E" w14:textId="15763CB8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D383D86" w14:textId="5A1D5286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26.4%</w:t>
            </w:r>
          </w:p>
        </w:tc>
      </w:tr>
      <w:tr w:rsidR="00EA401F" w:rsidRPr="00627017" w14:paraId="72FD5738" w14:textId="77777777" w:rsidTr="00AC4DA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7451" w14:textId="542B4A21" w:rsidR="00EA401F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EAF2" w14:textId="6D0EE297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1,875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3FFD24" w14:textId="7B450DA5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1,737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F1389" w14:textId="046D4FA5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-7.4%</w:t>
            </w:r>
          </w:p>
        </w:tc>
      </w:tr>
      <w:tr w:rsidR="004447BA" w:rsidRPr="00627017" w14:paraId="712B34D7" w14:textId="77777777" w:rsidTr="00EB1459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7D36" w14:textId="29732AC5" w:rsidR="004447BA" w:rsidRDefault="00EA401F" w:rsidP="00EB1459">
            <w:pPr>
              <w:spacing w:line="252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November</w:t>
            </w:r>
            <w:r w:rsidR="004447BA" w:rsidRPr="00D42F01">
              <w:rPr>
                <w:rFonts w:ascii="Arial" w:hAnsi="Arial" w:cs="Arial"/>
                <w:b/>
                <w:bCs/>
                <w:sz w:val="22"/>
              </w:rPr>
              <w:t xml:space="preserve"> Listings</w:t>
            </w:r>
          </w:p>
        </w:tc>
      </w:tr>
      <w:tr w:rsidR="004447BA" w:rsidRPr="00627017" w14:paraId="5C3D2A5B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F8BD" w14:textId="5F2091FF" w:rsidR="004447BA" w:rsidRDefault="004447BA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1E24" w14:textId="7F8DBE5F" w:rsidR="004447BA" w:rsidRDefault="004447BA" w:rsidP="00AC4DAC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6F63F662" w14:textId="7BCD4170" w:rsidR="004447BA" w:rsidRDefault="004447BA" w:rsidP="00AC4DAC">
            <w:pPr>
              <w:spacing w:line="252" w:lineRule="auto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8F00D5A" w14:textId="0C545A81" w:rsidR="004447BA" w:rsidRDefault="004447BA" w:rsidP="00AC4DAC">
            <w:pPr>
              <w:spacing w:line="252" w:lineRule="auto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EA401F" w:rsidRPr="00627017" w14:paraId="3FF3BB1D" w14:textId="77777777" w:rsidTr="00AC4DAC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A3DB" w14:textId="104C2B96" w:rsidR="00EA401F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BA50" w14:textId="785D4EA6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DE459EA" w14:textId="2E5F5AF0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C5A5174" w14:textId="2E421F2D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-14.7%</w:t>
            </w:r>
          </w:p>
        </w:tc>
      </w:tr>
      <w:tr w:rsidR="00EA401F" w:rsidRPr="00627017" w14:paraId="22C9FB69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8A97" w14:textId="5530E04C" w:rsidR="00EA401F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852B" w14:textId="194E2320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2FC92F2" w14:textId="387E46B1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E9E1CF6" w14:textId="1C2312E7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2.4%</w:t>
            </w:r>
          </w:p>
        </w:tc>
      </w:tr>
      <w:tr w:rsidR="00EA401F" w:rsidRPr="00627017" w14:paraId="4E4DD0B2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7CF6" w14:textId="4F19B666" w:rsidR="00EA401F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EDC5" w14:textId="6F0AF67C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2508C" w14:textId="754022EE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8C441" w14:textId="7A3FEE31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19.1%</w:t>
            </w:r>
          </w:p>
        </w:tc>
      </w:tr>
      <w:tr w:rsidR="00EA401F" w:rsidRPr="00627017" w14:paraId="4B992F1A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8944" w14:textId="28774B63" w:rsidR="00EA401F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D4A3" w14:textId="347A8FF1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6F505F" w14:textId="1DD923FC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66B4094" w14:textId="5557CE3D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18.3%</w:t>
            </w:r>
          </w:p>
        </w:tc>
      </w:tr>
      <w:tr w:rsidR="00EA401F" w:rsidRPr="00627017" w14:paraId="72D24EE2" w14:textId="77777777" w:rsidTr="00AC4DA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016F" w14:textId="0393D0C3" w:rsidR="00EA401F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E35A" w14:textId="3E8DE11C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1,297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DFE06B" w14:textId="33022FD7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1,215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131DA" w14:textId="65B6C720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-6.3%</w:t>
            </w:r>
          </w:p>
        </w:tc>
      </w:tr>
      <w:tr w:rsidR="004447BA" w:rsidRPr="00627017" w14:paraId="3443F696" w14:textId="77777777" w:rsidTr="00AC4DAC">
        <w:trPr>
          <w:trHeight w:val="8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CDB1" w14:textId="77777777" w:rsidR="004447BA" w:rsidRPr="0077044F" w:rsidRDefault="004447BA" w:rsidP="00AC4DAC">
            <w:pPr>
              <w:spacing w:line="252" w:lineRule="auto"/>
              <w:ind w:right="19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A401F" w:rsidRPr="00627017" w14:paraId="78B894F1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B447" w14:textId="0003DFC4" w:rsidR="00EA401F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63E" w14:textId="464C7E2B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E92F" w14:textId="7DAD92A3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B6FAF" w14:textId="43EFACE6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EA401F" w:rsidRPr="00627017" w14:paraId="27AC214E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6008" w14:textId="2FAC1288" w:rsidR="00EA401F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D464" w14:textId="1BA52E16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59FF718" w14:textId="4A63E346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4D70372" w14:textId="6CAE282D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EA401F" w:rsidRPr="00627017" w14:paraId="04B4F940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9DED" w14:textId="774FCB50" w:rsidR="00EA401F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7911" w14:textId="1ED02C18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177A4" w14:textId="13921CAE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88BA" w14:textId="5C7D7F28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-6.6%</w:t>
            </w:r>
          </w:p>
        </w:tc>
      </w:tr>
      <w:tr w:rsidR="00EA401F" w:rsidRPr="00627017" w14:paraId="2798AD5E" w14:textId="77777777" w:rsidTr="00AC4DA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5DA3" w14:textId="4B37B6E8" w:rsidR="00EA401F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2841" w14:textId="455A65A5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B3A30FD" w14:textId="19B1615D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276188D" w14:textId="676B00ED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2.7%</w:t>
            </w:r>
          </w:p>
        </w:tc>
      </w:tr>
      <w:tr w:rsidR="00EA401F" w:rsidRPr="00627017" w14:paraId="6FEAB730" w14:textId="77777777" w:rsidTr="00AC4DA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E50B" w14:textId="3370C7A9" w:rsidR="00EA401F" w:rsidRDefault="00EA401F" w:rsidP="00AC4D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9602" w14:textId="5BFB0D34" w:rsidR="00EA401F" w:rsidRPr="00EA401F" w:rsidRDefault="00EA401F" w:rsidP="00AC4D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1,804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A8C1B7" w14:textId="4668D896" w:rsidR="00EA401F" w:rsidRPr="00EA401F" w:rsidRDefault="00EA401F" w:rsidP="00AC4D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1,717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4E0B" w14:textId="0F1394D4" w:rsidR="00EA401F" w:rsidRPr="00EA401F" w:rsidRDefault="00EA401F" w:rsidP="00AC4D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401F">
              <w:rPr>
                <w:rFonts w:ascii="Arial" w:hAnsi="Arial" w:cs="Arial"/>
                <w:sz w:val="20"/>
                <w:szCs w:val="20"/>
              </w:rPr>
              <w:t>-4.8%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4673A37C" w14:textId="77777777" w:rsidR="00343002" w:rsidRDefault="00381E8C" w:rsidP="00F84C72">
      <w:r>
        <w:t>H</w:t>
      </w:r>
      <w:r w:rsidR="0077154C" w:rsidRPr="0077154C">
        <w:t xml:space="preserve">ome sales </w:t>
      </w:r>
      <w:r w:rsidR="009A06EB">
        <w:t xml:space="preserve">for </w:t>
      </w:r>
      <w:r w:rsidR="00EA401F">
        <w:t>November</w:t>
      </w:r>
      <w:r w:rsidR="009A06EB">
        <w:t xml:space="preserve"> were </w:t>
      </w:r>
      <w:r>
        <w:t>down 9</w:t>
      </w:r>
      <w:r w:rsidR="00B60590">
        <w:t>.</w:t>
      </w:r>
      <w:r>
        <w:t>2</w:t>
      </w:r>
      <w:r w:rsidR="00B60590">
        <w:t xml:space="preserve">% </w:t>
      </w:r>
      <w:r>
        <w:t xml:space="preserve">in </w:t>
      </w:r>
      <w:r w:rsidRPr="0077154C">
        <w:t>Metropolitan Milwaukee</w:t>
      </w:r>
      <w:r>
        <w:t xml:space="preserve"> </w:t>
      </w:r>
      <w:r w:rsidR="00B60590">
        <w:t xml:space="preserve">compared to </w:t>
      </w:r>
      <w:r w:rsidR="00EA401F">
        <w:t>November</w:t>
      </w:r>
      <w:r w:rsidR="00737429">
        <w:t xml:space="preserve"> 2024. </w:t>
      </w:r>
    </w:p>
    <w:p w14:paraId="6BE4D496" w14:textId="77777777" w:rsidR="00343002" w:rsidRDefault="00343002" w:rsidP="00F84C72"/>
    <w:p w14:paraId="7D7D7188" w14:textId="5B99F967" w:rsidR="00343002" w:rsidRDefault="00C35013" w:rsidP="003B6809">
      <w:r>
        <w:t>Year-to-date</w:t>
      </w:r>
      <w:r w:rsidR="00343002">
        <w:t xml:space="preserve">, </w:t>
      </w:r>
      <w:r>
        <w:t xml:space="preserve">there were </w:t>
      </w:r>
      <w:r>
        <w:t>15,588</w:t>
      </w:r>
      <w:r>
        <w:t xml:space="preserve"> </w:t>
      </w:r>
      <w:r w:rsidR="000C7718">
        <w:t>s</w:t>
      </w:r>
      <w:r w:rsidR="00EB1459">
        <w:t>ales in the four-county area</w:t>
      </w:r>
      <w:r w:rsidR="00343002">
        <w:t>,</w:t>
      </w:r>
      <w:r w:rsidR="000C7718">
        <w:t xml:space="preserve"> </w:t>
      </w:r>
      <w:r w:rsidR="00343002">
        <w:t>up 0.6%</w:t>
      </w:r>
      <w:r w:rsidR="00343002">
        <w:t xml:space="preserve"> from 2024. </w:t>
      </w:r>
    </w:p>
    <w:p w14:paraId="5C2AF8B6" w14:textId="77777777" w:rsidR="00343002" w:rsidRDefault="00343002" w:rsidP="003B6809"/>
    <w:p w14:paraId="6CD8F7EA" w14:textId="7BD32EE4" w:rsidR="000C7718" w:rsidRDefault="00381E8C" w:rsidP="003B6809">
      <w:r>
        <w:t xml:space="preserve">For 2025 </w:t>
      </w:r>
      <w:r w:rsidR="00D54E63">
        <w:t>it is</w:t>
      </w:r>
      <w:r>
        <w:t xml:space="preserve"> beginning to look like sales will </w:t>
      </w:r>
      <w:r w:rsidR="00343002">
        <w:t>be flat compared to 2024. If we take the average for December over the last three years, 2025 will end with 16,829 – 0.2% ahead of 2024.</w:t>
      </w:r>
    </w:p>
    <w:p w14:paraId="0ABAB178" w14:textId="77777777" w:rsidR="000C7718" w:rsidRDefault="000C7718" w:rsidP="003B6809"/>
    <w:p w14:paraId="4BFD9B99" w14:textId="7F0688C1" w:rsidR="003D6FDB" w:rsidRDefault="00343002" w:rsidP="003B6809">
      <w:r>
        <w:t>Inventory has been creeping up this year but took a step back in November by 6.3%</w:t>
      </w:r>
      <w:r w:rsidR="00396D14">
        <w:t xml:space="preserve">. For the </w:t>
      </w:r>
      <w:r w:rsidR="00D54E63">
        <w:t>year,</w:t>
      </w:r>
      <w:r>
        <w:t xml:space="preserve"> the market is </w:t>
      </w:r>
      <w:r w:rsidR="003D6FDB">
        <w:t>3</w:t>
      </w:r>
      <w:r>
        <w:t>.6</w:t>
      </w:r>
      <w:r w:rsidR="003D6FDB">
        <w:t xml:space="preserve">% </w:t>
      </w:r>
      <w:r>
        <w:t>ahead of 2024</w:t>
      </w:r>
      <w:r w:rsidR="00396D14">
        <w:t>,</w:t>
      </w:r>
      <w:r>
        <w:t xml:space="preserve"> </w:t>
      </w:r>
      <w:r w:rsidR="00BB2089">
        <w:t>year-to-date</w:t>
      </w:r>
      <w:r w:rsidR="003D6FDB">
        <w:t xml:space="preserve">. </w:t>
      </w:r>
    </w:p>
    <w:p w14:paraId="1028F6CF" w14:textId="77777777" w:rsidR="003B6809" w:rsidRDefault="003B6809" w:rsidP="003B6809"/>
    <w:p w14:paraId="4CFD66D5" w14:textId="3287DADD" w:rsidR="00396D14" w:rsidRDefault="00396D14" w:rsidP="003B6809">
      <w:r>
        <w:t xml:space="preserve">We estimate that 2025 will end with 3.3% more new listings compared to 2024, 21,360 </w:t>
      </w:r>
      <w:r>
        <w:t>versus</w:t>
      </w:r>
      <w:r>
        <w:t xml:space="preserve"> 20,670, respectively. </w:t>
      </w:r>
      <w:r w:rsidR="00447BD9">
        <w:t xml:space="preserve">Way below what the market is demanding. </w:t>
      </w:r>
    </w:p>
    <w:p w14:paraId="3FD728A8" w14:textId="77777777" w:rsidR="00396D14" w:rsidRDefault="00396D14" w:rsidP="003B6809"/>
    <w:p w14:paraId="151E1796" w14:textId="77777777" w:rsidR="00447BD9" w:rsidRDefault="0019709C" w:rsidP="00F84C72">
      <w:r>
        <w:t xml:space="preserve">The Metropolitan Milwaukee area needed an additional </w:t>
      </w:r>
      <w:r w:rsidR="00447BD9">
        <w:t>4</w:t>
      </w:r>
      <w:r>
        <w:t>,</w:t>
      </w:r>
      <w:r w:rsidR="00A65F12">
        <w:t>3</w:t>
      </w:r>
      <w:r w:rsidR="00447BD9">
        <w:t>6</w:t>
      </w:r>
      <w:r w:rsidR="00A65F12">
        <w:t>0</w:t>
      </w:r>
      <w:r>
        <w:t xml:space="preserve"> units in </w:t>
      </w:r>
      <w:r w:rsidR="00EA401F">
        <w:t>November</w:t>
      </w:r>
      <w:r>
        <w:t xml:space="preserve"> to </w:t>
      </w:r>
      <w:r w:rsidR="00A65F12">
        <w:t xml:space="preserve">reach anything that could be </w:t>
      </w:r>
      <w:r>
        <w:t>considered a balanced market</w:t>
      </w:r>
      <w:r w:rsidR="009D671D">
        <w:t xml:space="preserve"> (six months of supply)</w:t>
      </w:r>
      <w:r>
        <w:t xml:space="preserve">. </w:t>
      </w:r>
    </w:p>
    <w:p w14:paraId="2716C32D" w14:textId="77777777" w:rsidR="00447BD9" w:rsidRDefault="00447BD9" w:rsidP="00F84C72"/>
    <w:p w14:paraId="36202F20" w14:textId="3E7B9BDA" w:rsidR="00603D57" w:rsidRDefault="0019709C" w:rsidP="00F84C72">
      <w:r>
        <w:t xml:space="preserve">Reaching </w:t>
      </w:r>
      <w:r w:rsidR="00A65F12">
        <w:t xml:space="preserve">that </w:t>
      </w:r>
      <w:r>
        <w:t xml:space="preserve">6-month </w:t>
      </w:r>
      <w:r w:rsidR="00A65F12">
        <w:t xml:space="preserve">threshold </w:t>
      </w:r>
      <w:r>
        <w:t xml:space="preserve">is important because it </w:t>
      </w:r>
      <w:r w:rsidR="00603D57">
        <w:t>provide</w:t>
      </w:r>
      <w:r>
        <w:t>s</w:t>
      </w:r>
      <w:r w:rsidR="00603D57">
        <w:t xml:space="preserve"> a wider selection for buyers to choose from, moderat</w:t>
      </w:r>
      <w:r>
        <w:t>e</w:t>
      </w:r>
      <w:r w:rsidR="009D671D">
        <w:t>s</w:t>
      </w:r>
      <w:r>
        <w:t xml:space="preserve"> price inflation</w:t>
      </w:r>
      <w:r w:rsidR="00603D57">
        <w:t xml:space="preserve"> and offer</w:t>
      </w:r>
      <w:r w:rsidR="009D671D">
        <w:t>s</w:t>
      </w:r>
      <w:r w:rsidR="00603D57">
        <w:t xml:space="preserve"> more time for buyers to </w:t>
      </w:r>
      <w:r w:rsidR="00E55433">
        <w:t>decide</w:t>
      </w:r>
      <w:r w:rsidR="00603D57">
        <w:t xml:space="preserve"> on a home.</w:t>
      </w:r>
      <w:r w:rsidR="00A65F12">
        <w:t xml:space="preserve"> </w:t>
      </w:r>
    </w:p>
    <w:p w14:paraId="0DB440DA" w14:textId="77777777" w:rsidR="00A65F12" w:rsidRDefault="00A65F12" w:rsidP="00F84C72"/>
    <w:p w14:paraId="54462DAE" w14:textId="6E4E9454" w:rsidR="00A65F12" w:rsidRDefault="00A65F12" w:rsidP="00A65F12">
      <w:r>
        <w:lastRenderedPageBreak/>
        <w:t>The absorption of available units is push</w:t>
      </w:r>
      <w:r w:rsidR="00447BD9">
        <w:t>ing</w:t>
      </w:r>
      <w:r>
        <w:t xml:space="preserve"> prices up. In </w:t>
      </w:r>
      <w:r w:rsidR="00EA401F">
        <w:t>November</w:t>
      </w:r>
      <w:r w:rsidR="00217ACF">
        <w:t>,</w:t>
      </w:r>
      <w:r>
        <w:t xml:space="preserve"> average prices rose </w:t>
      </w:r>
      <w:r w:rsidR="00447BD9">
        <w:t>8</w:t>
      </w:r>
      <w:r>
        <w:t xml:space="preserve">.7% from </w:t>
      </w:r>
      <w:r w:rsidR="00EA401F">
        <w:t>November</w:t>
      </w:r>
      <w:r>
        <w:t xml:space="preserve"> ’24 to an average price of $4</w:t>
      </w:r>
      <w:r w:rsidR="00447BD9">
        <w:t>28</w:t>
      </w:r>
      <w:r>
        <w:t>,</w:t>
      </w:r>
      <w:r w:rsidR="00447BD9">
        <w:t>531</w:t>
      </w:r>
      <w:r>
        <w:t>.</w:t>
      </w:r>
      <w:r w:rsidR="00447BD9">
        <w:t xml:space="preserve"> Year-to-date prices are up 7.7% with an average price of $431,363.</w:t>
      </w:r>
      <w:r>
        <w:t xml:space="preserve"> </w:t>
      </w:r>
    </w:p>
    <w:p w14:paraId="123E4D90" w14:textId="006ED37F" w:rsidR="00200CBB" w:rsidRDefault="00D54E63" w:rsidP="00070E50">
      <w:r w:rsidRPr="00EA401F">
        <w:drawing>
          <wp:anchor distT="0" distB="0" distL="114300" distR="114300" simplePos="0" relativeHeight="251680768" behindDoc="0" locked="0" layoutInCell="1" allowOverlap="1" wp14:anchorId="53BE51BA" wp14:editId="104BD72C">
            <wp:simplePos x="0" y="0"/>
            <wp:positionH relativeFrom="column">
              <wp:posOffset>2063750</wp:posOffset>
            </wp:positionH>
            <wp:positionV relativeFrom="paragraph">
              <wp:posOffset>144780</wp:posOffset>
            </wp:positionV>
            <wp:extent cx="3840480" cy="2400710"/>
            <wp:effectExtent l="0" t="0" r="7620" b="0"/>
            <wp:wrapSquare wrapText="bothSides"/>
            <wp:docPr id="685113824" name="Picture 1" descr="A graph of a number of hou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13824" name="Picture 1" descr="A graph of a number of hous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4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0827F1" w14:textId="302116A7" w:rsidR="00E65D35" w:rsidRDefault="007C3421" w:rsidP="00D54E63">
      <w:r>
        <w:t>A</w:t>
      </w:r>
      <w:r w:rsidR="003244DA">
        <w:t xml:space="preserve">s we have been highlighting for </w:t>
      </w:r>
      <w:r w:rsidR="003244DA" w:rsidRPr="0096573C">
        <w:rPr>
          <w:i/>
          <w:iCs/>
          <w:u w:val="single"/>
        </w:rPr>
        <w:t>several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4F4D5B">
        <w:t>tough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</w:t>
      </w:r>
      <w:r w:rsidR="00E55433">
        <w:t>condominiums</w:t>
      </w:r>
      <w:r w:rsidR="003244DA">
        <w:t xml:space="preserve"> and single-family houses. </w:t>
      </w:r>
    </w:p>
    <w:p w14:paraId="47D8F696" w14:textId="4D3B3AD6" w:rsidR="00E65D35" w:rsidRDefault="00E65D35" w:rsidP="003244DA">
      <w:pPr>
        <w:ind w:right="-180"/>
      </w:pPr>
    </w:p>
    <w:p w14:paraId="4E012A29" w14:textId="33622EC7" w:rsidR="002920FB" w:rsidRDefault="00EA401F" w:rsidP="003244DA">
      <w:r>
        <w:rPr>
          <w:noProof/>
        </w:rPr>
        <w:drawing>
          <wp:anchor distT="0" distB="0" distL="0" distR="0" simplePos="0" relativeHeight="251681792" behindDoc="0" locked="0" layoutInCell="1" allowOverlap="1" wp14:anchorId="7CFCC3D1" wp14:editId="29A093B4">
            <wp:simplePos x="0" y="0"/>
            <wp:positionH relativeFrom="column">
              <wp:posOffset>5565140</wp:posOffset>
            </wp:positionH>
            <wp:positionV relativeFrom="paragraph">
              <wp:posOffset>421640</wp:posOffset>
            </wp:positionV>
            <wp:extent cx="365760" cy="480695"/>
            <wp:effectExtent l="0" t="0" r="0" b="0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717" b="1"/>
                    <a:stretch/>
                  </pic:blipFill>
                  <pic:spPr bwMode="auto">
                    <a:xfrm>
                      <a:off x="0" y="0"/>
                      <a:ext cx="365760" cy="4806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4DA">
        <w:t xml:space="preserve">There is a significant, long-term danger if we do not </w:t>
      </w:r>
      <w:r w:rsidR="003244DA" w:rsidRPr="00F84C72">
        <w:t>creat</w:t>
      </w:r>
      <w:r w:rsidR="003244DA">
        <w:t>e</w:t>
      </w:r>
      <w:r w:rsidR="003244DA" w:rsidRPr="00F84C72">
        <w:t xml:space="preserve"> additional supply in the form of single-family and condominium units</w:t>
      </w:r>
      <w:r w:rsidR="00166452">
        <w:t>. T</w:t>
      </w:r>
      <w:r w:rsidR="003244DA" w:rsidRPr="00F84C72">
        <w:t>housands of would-be homeowners will be forced into rental units,</w:t>
      </w:r>
      <w:r w:rsidR="003244DA">
        <w:t xml:space="preserve"> unable to save for a down payment and</w:t>
      </w:r>
      <w:r w:rsidR="003244DA" w:rsidRPr="00F84C72">
        <w:t xml:space="preserve"> foregoing the opportunity to build wealth through a home’s equity </w:t>
      </w:r>
      <w:r w:rsidR="003244DA">
        <w:t xml:space="preserve">– as well as </w:t>
      </w:r>
      <w:r w:rsidR="00D54E63" w:rsidRPr="00F84C72">
        <w:t>all</w:t>
      </w:r>
      <w:r w:rsidR="003244DA" w:rsidRPr="00F84C72">
        <w:t xml:space="preserve"> the other benefits of homeownership. </w:t>
      </w:r>
    </w:p>
    <w:p w14:paraId="3580E905" w14:textId="4A56CE7F" w:rsidR="002920FB" w:rsidRDefault="002920FB" w:rsidP="003244DA"/>
    <w:p w14:paraId="552448E6" w14:textId="7CA29303" w:rsidR="003244DA" w:rsidRDefault="003244DA" w:rsidP="003244DA">
      <w:r>
        <w:t>Th</w:t>
      </w:r>
      <w:r w:rsidR="004D52E3">
        <w:t>is</w:t>
      </w:r>
      <w:r>
        <w:t xml:space="preserve"> will result in problems decades down the road when families do not have enough home equity to tap into for college expenses, to remodel their home, or for emergencies. </w:t>
      </w:r>
    </w:p>
    <w:p w14:paraId="6C6A5D4A" w14:textId="49B5899B" w:rsidR="003244DA" w:rsidRPr="00985B7F" w:rsidRDefault="003244DA" w:rsidP="008E4E9F">
      <w:pPr>
        <w:pStyle w:val="ParagraphIntro"/>
        <w:spacing w:after="60"/>
      </w:pPr>
      <w:r w:rsidRPr="00985B7F">
        <w:t>Where to go</w:t>
      </w:r>
    </w:p>
    <w:p w14:paraId="4789C15D" w14:textId="03FD4218" w:rsidR="003244DA" w:rsidRPr="00627017" w:rsidRDefault="003244DA" w:rsidP="008E4E9F">
      <w:pPr>
        <w:ind w:right="-180"/>
      </w:pPr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8A0504" w:rsidRDefault="003244DA" w:rsidP="003244DA">
      <w:pPr>
        <w:rPr>
          <w:sz w:val="16"/>
          <w:szCs w:val="16"/>
        </w:rPr>
      </w:pPr>
    </w:p>
    <w:p w14:paraId="4D2D04D8" w14:textId="3BB29545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</w:t>
      </w:r>
      <w:r w:rsidR="00EC6CB8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8A0504" w:rsidRDefault="003244DA" w:rsidP="003244DA">
      <w:pPr>
        <w:rPr>
          <w:sz w:val="16"/>
          <w:szCs w:val="16"/>
        </w:rPr>
      </w:pPr>
    </w:p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8A0504" w:rsidRDefault="003244DA" w:rsidP="003244DA">
      <w:pPr>
        <w:rPr>
          <w:sz w:val="16"/>
          <w:szCs w:val="16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532D4FE1" w:rsidR="003D6FDB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b/>
          <w:bCs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  <w:r w:rsidR="003D6FD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0632FB6" w14:textId="613916BF" w:rsidR="00821B5B" w:rsidRDefault="003D6FDB" w:rsidP="00A65F12">
      <w:pPr>
        <w:spacing w:after="160" w:line="259" w:lineRule="auto"/>
        <w:contextualSpacing w:val="0"/>
        <w:jc w:val="center"/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="00AC4DAC">
        <w:rPr>
          <w:noProof/>
        </w:rPr>
        <w:lastRenderedPageBreak/>
        <w:drawing>
          <wp:inline distT="0" distB="0" distL="0" distR="0" wp14:anchorId="662A8828" wp14:editId="51F1372E">
            <wp:extent cx="5645432" cy="3269685"/>
            <wp:effectExtent l="0" t="0" r="0" b="6985"/>
            <wp:docPr id="12046277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3146DA" w14:textId="77777777" w:rsidR="00821B5B" w:rsidRDefault="00821B5B" w:rsidP="00821B5B">
      <w:pPr>
        <w:spacing w:after="120" w:line="300" w:lineRule="auto"/>
        <w:ind w:left="270" w:right="270"/>
      </w:pPr>
    </w:p>
    <w:p w14:paraId="110124F7" w14:textId="540FFF0F" w:rsidR="00FE2AA3" w:rsidRDefault="00752249" w:rsidP="00821B5B">
      <w:pPr>
        <w:spacing w:after="120" w:line="300" w:lineRule="auto"/>
        <w:ind w:left="270" w:right="270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EA401F">
        <w:rPr>
          <w:rStyle w:val="NormalCalloutText"/>
        </w:rPr>
        <w:t>November</w:t>
      </w:r>
      <w:r w:rsidR="0060287B" w:rsidRPr="00F84C72">
        <w:rPr>
          <w:rStyle w:val="NormalCalloutText"/>
        </w:rPr>
        <w:t xml:space="preserve"> was </w:t>
      </w:r>
      <w:r w:rsidR="00AC4DAC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AC4DAC">
        <w:rPr>
          <w:rStyle w:val="NormalCalloutText"/>
        </w:rPr>
        <w:t>9</w:t>
      </w:r>
      <w:r w:rsidR="0060287B" w:rsidRPr="00F84C72">
        <w:rPr>
          <w:rStyle w:val="NormalCalloutText"/>
        </w:rPr>
        <w:t xml:space="preserve"> month</w:t>
      </w:r>
      <w:r w:rsidR="00BD2F20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C960B7">
        <w:rPr>
          <w:b/>
          <w:bCs/>
          <w:color w:val="203058"/>
        </w:rPr>
        <w:t>3</w:t>
      </w:r>
      <w:r w:rsidR="00160B50">
        <w:rPr>
          <w:b/>
          <w:bCs/>
          <w:color w:val="203058"/>
        </w:rPr>
        <w:t>,</w:t>
      </w:r>
      <w:r w:rsidR="00AC4DAC">
        <w:rPr>
          <w:b/>
          <w:bCs/>
          <w:color w:val="203058"/>
        </w:rPr>
        <w:t>155</w:t>
      </w:r>
      <w:r w:rsidR="00200CBB">
        <w:rPr>
          <w:b/>
          <w:bCs/>
          <w:color w:val="203058"/>
        </w:rPr>
        <w:t xml:space="preserve"> </w:t>
      </w:r>
      <w:r w:rsidR="00FE2AA3" w:rsidRPr="00F84C72">
        <w:rPr>
          <w:rStyle w:val="NormalCalloutText"/>
        </w:rPr>
        <w:t xml:space="preserve">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AC4DAC">
        <w:rPr>
          <w:rStyle w:val="NormalCalloutText"/>
        </w:rPr>
        <w:t>4</w:t>
      </w:r>
      <w:r w:rsidR="00FE2AA3" w:rsidRPr="00F84C72">
        <w:rPr>
          <w:rStyle w:val="NormalCalloutText"/>
        </w:rPr>
        <w:t xml:space="preserve"> month</w:t>
      </w:r>
      <w:r w:rsidR="00C960B7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821B5B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53B703C7" w:rsidR="00FE2AA3" w:rsidRDefault="00AC4DAC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2F18DB2F" wp14:editId="2DDEB19C">
            <wp:extent cx="5605074" cy="3040098"/>
            <wp:effectExtent l="0" t="0" r="0" b="8255"/>
            <wp:docPr id="905475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6CBF03B4" w14:textId="73806C6B" w:rsidR="002920FB" w:rsidRDefault="004E6698" w:rsidP="003D6FDB">
      <w:pPr>
        <w:spacing w:before="120" w:after="120" w:line="300" w:lineRule="auto"/>
        <w:ind w:left="270" w:right="270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3D6FDB">
        <w:t>4</w:t>
      </w:r>
      <w:r w:rsidR="00C960B7">
        <w:t>,</w:t>
      </w:r>
      <w:r w:rsidR="00AC4DAC">
        <w:t>155</w:t>
      </w:r>
      <w:r w:rsidRPr="00E65D35">
        <w:t xml:space="preserve"> current listings providing </w:t>
      </w:r>
      <w:r w:rsidR="00AC4DAC">
        <w:t>2</w:t>
      </w:r>
      <w:r w:rsidR="00E65D35" w:rsidRPr="00E65D35">
        <w:t>.</w:t>
      </w:r>
      <w:r w:rsidR="00AC4DAC">
        <w:t>9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AC4DAC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3D6FDB">
        <w:rPr>
          <w:rStyle w:val="NormalCalloutText"/>
        </w:rPr>
        <w:t>3</w:t>
      </w:r>
      <w:r w:rsidR="00AC4DAC">
        <w:rPr>
          <w:rStyle w:val="NormalCalloutText"/>
        </w:rPr>
        <w:t>6</w:t>
      </w:r>
      <w:r w:rsidR="003D6FDB">
        <w:rPr>
          <w:rStyle w:val="NormalCalloutText"/>
        </w:rPr>
        <w:t>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2920FB" w:rsidSect="00A542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797A" w14:textId="77777777" w:rsidR="00FB26C9" w:rsidRDefault="00FB26C9" w:rsidP="003B327A">
      <w:r>
        <w:separator/>
      </w:r>
    </w:p>
  </w:endnote>
  <w:endnote w:type="continuationSeparator" w:id="0">
    <w:p w14:paraId="3F6092DC" w14:textId="77777777" w:rsidR="00FB26C9" w:rsidRDefault="00FB26C9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59D7" w14:textId="77777777" w:rsidR="00FB26C9" w:rsidRDefault="00FB26C9" w:rsidP="003B327A">
      <w:r>
        <w:separator/>
      </w:r>
    </w:p>
  </w:footnote>
  <w:footnote w:type="continuationSeparator" w:id="0">
    <w:p w14:paraId="1606FE2C" w14:textId="77777777" w:rsidR="00FB26C9" w:rsidRDefault="00FB26C9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0708"/>
    <w:rsid w:val="000231FD"/>
    <w:rsid w:val="00025E65"/>
    <w:rsid w:val="00026FC5"/>
    <w:rsid w:val="00027002"/>
    <w:rsid w:val="00027936"/>
    <w:rsid w:val="000359A8"/>
    <w:rsid w:val="000418A7"/>
    <w:rsid w:val="00041F41"/>
    <w:rsid w:val="00042FD4"/>
    <w:rsid w:val="00043760"/>
    <w:rsid w:val="00045DDB"/>
    <w:rsid w:val="000478F6"/>
    <w:rsid w:val="00050D04"/>
    <w:rsid w:val="00050EC7"/>
    <w:rsid w:val="00057F91"/>
    <w:rsid w:val="000643AB"/>
    <w:rsid w:val="00070E50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B7E8B"/>
    <w:rsid w:val="000C0358"/>
    <w:rsid w:val="000C5D86"/>
    <w:rsid w:val="000C61E3"/>
    <w:rsid w:val="000C7718"/>
    <w:rsid w:val="000D0E85"/>
    <w:rsid w:val="000D1743"/>
    <w:rsid w:val="000E0548"/>
    <w:rsid w:val="000E14E4"/>
    <w:rsid w:val="000E4CD9"/>
    <w:rsid w:val="000E646C"/>
    <w:rsid w:val="000E6502"/>
    <w:rsid w:val="000F21F9"/>
    <w:rsid w:val="0010266B"/>
    <w:rsid w:val="001049A0"/>
    <w:rsid w:val="00105A82"/>
    <w:rsid w:val="00105C96"/>
    <w:rsid w:val="00107E28"/>
    <w:rsid w:val="001104B3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1841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67B6A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9342D"/>
    <w:rsid w:val="0019709C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101E"/>
    <w:rsid w:val="001F0911"/>
    <w:rsid w:val="001F1FB1"/>
    <w:rsid w:val="001F245E"/>
    <w:rsid w:val="001F5CBD"/>
    <w:rsid w:val="001F7017"/>
    <w:rsid w:val="00200CBB"/>
    <w:rsid w:val="00205183"/>
    <w:rsid w:val="0020526F"/>
    <w:rsid w:val="0020568A"/>
    <w:rsid w:val="00207323"/>
    <w:rsid w:val="002114BD"/>
    <w:rsid w:val="00211BC4"/>
    <w:rsid w:val="00214D42"/>
    <w:rsid w:val="002156E5"/>
    <w:rsid w:val="00215C52"/>
    <w:rsid w:val="00217ACF"/>
    <w:rsid w:val="002228CD"/>
    <w:rsid w:val="00226695"/>
    <w:rsid w:val="002268AB"/>
    <w:rsid w:val="002311B5"/>
    <w:rsid w:val="00232416"/>
    <w:rsid w:val="0023346D"/>
    <w:rsid w:val="0023589E"/>
    <w:rsid w:val="002369FD"/>
    <w:rsid w:val="00241968"/>
    <w:rsid w:val="00244D23"/>
    <w:rsid w:val="0025010A"/>
    <w:rsid w:val="00254EA2"/>
    <w:rsid w:val="00254F9F"/>
    <w:rsid w:val="00260189"/>
    <w:rsid w:val="00261855"/>
    <w:rsid w:val="00270176"/>
    <w:rsid w:val="00270753"/>
    <w:rsid w:val="00276DCA"/>
    <w:rsid w:val="002770E1"/>
    <w:rsid w:val="00277C91"/>
    <w:rsid w:val="00284B0C"/>
    <w:rsid w:val="00284EF5"/>
    <w:rsid w:val="002853E5"/>
    <w:rsid w:val="002864B3"/>
    <w:rsid w:val="002920FB"/>
    <w:rsid w:val="002A41E2"/>
    <w:rsid w:val="002A5E81"/>
    <w:rsid w:val="002A6B1C"/>
    <w:rsid w:val="002A78ED"/>
    <w:rsid w:val="002B1788"/>
    <w:rsid w:val="002B5840"/>
    <w:rsid w:val="002B783D"/>
    <w:rsid w:val="002C0AE4"/>
    <w:rsid w:val="002C12CA"/>
    <w:rsid w:val="002C412A"/>
    <w:rsid w:val="002C639C"/>
    <w:rsid w:val="002D0230"/>
    <w:rsid w:val="002E3801"/>
    <w:rsid w:val="002E391A"/>
    <w:rsid w:val="002E3AD7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3002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6BA5"/>
    <w:rsid w:val="00377E8C"/>
    <w:rsid w:val="00377E9E"/>
    <w:rsid w:val="00380FF7"/>
    <w:rsid w:val="00381E8C"/>
    <w:rsid w:val="0038324D"/>
    <w:rsid w:val="00383620"/>
    <w:rsid w:val="003878AF"/>
    <w:rsid w:val="00393E99"/>
    <w:rsid w:val="00395028"/>
    <w:rsid w:val="0039613C"/>
    <w:rsid w:val="00396D14"/>
    <w:rsid w:val="003A6347"/>
    <w:rsid w:val="003B1886"/>
    <w:rsid w:val="003B3214"/>
    <w:rsid w:val="003B327A"/>
    <w:rsid w:val="003B6809"/>
    <w:rsid w:val="003C282B"/>
    <w:rsid w:val="003C3E5E"/>
    <w:rsid w:val="003C5FD7"/>
    <w:rsid w:val="003D6FDB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47BA"/>
    <w:rsid w:val="00445F1E"/>
    <w:rsid w:val="00447BD9"/>
    <w:rsid w:val="00450916"/>
    <w:rsid w:val="00460083"/>
    <w:rsid w:val="00460A09"/>
    <w:rsid w:val="004616F1"/>
    <w:rsid w:val="0046205A"/>
    <w:rsid w:val="004635F0"/>
    <w:rsid w:val="00465A20"/>
    <w:rsid w:val="00465F52"/>
    <w:rsid w:val="00470AB1"/>
    <w:rsid w:val="0047433E"/>
    <w:rsid w:val="00474ECB"/>
    <w:rsid w:val="00476AA0"/>
    <w:rsid w:val="00481980"/>
    <w:rsid w:val="00482F01"/>
    <w:rsid w:val="0048406D"/>
    <w:rsid w:val="00493A78"/>
    <w:rsid w:val="0049421B"/>
    <w:rsid w:val="004A1A6C"/>
    <w:rsid w:val="004A40D2"/>
    <w:rsid w:val="004A5A2A"/>
    <w:rsid w:val="004A5FC1"/>
    <w:rsid w:val="004B1439"/>
    <w:rsid w:val="004B1C64"/>
    <w:rsid w:val="004B2A09"/>
    <w:rsid w:val="004B2A93"/>
    <w:rsid w:val="004C4818"/>
    <w:rsid w:val="004C7E31"/>
    <w:rsid w:val="004D52E3"/>
    <w:rsid w:val="004E6698"/>
    <w:rsid w:val="004E6E55"/>
    <w:rsid w:val="004E7EEF"/>
    <w:rsid w:val="004F08C0"/>
    <w:rsid w:val="004F1CC0"/>
    <w:rsid w:val="004F2090"/>
    <w:rsid w:val="004F4D5B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36FC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A167E"/>
    <w:rsid w:val="005B5396"/>
    <w:rsid w:val="005C1A84"/>
    <w:rsid w:val="005C25E4"/>
    <w:rsid w:val="005C3BB5"/>
    <w:rsid w:val="005C4AF7"/>
    <w:rsid w:val="005C581B"/>
    <w:rsid w:val="005C5E3F"/>
    <w:rsid w:val="005C65B2"/>
    <w:rsid w:val="005D0C58"/>
    <w:rsid w:val="005D4112"/>
    <w:rsid w:val="005D6400"/>
    <w:rsid w:val="005E4C81"/>
    <w:rsid w:val="005F3908"/>
    <w:rsid w:val="005F59F9"/>
    <w:rsid w:val="00600C15"/>
    <w:rsid w:val="00602021"/>
    <w:rsid w:val="0060287B"/>
    <w:rsid w:val="00603A94"/>
    <w:rsid w:val="00603D57"/>
    <w:rsid w:val="00607620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42B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26BD"/>
    <w:rsid w:val="00667F9C"/>
    <w:rsid w:val="0067111B"/>
    <w:rsid w:val="00673F45"/>
    <w:rsid w:val="00674A71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3772"/>
    <w:rsid w:val="006D54A8"/>
    <w:rsid w:val="006D6799"/>
    <w:rsid w:val="006E0511"/>
    <w:rsid w:val="006E0DB1"/>
    <w:rsid w:val="006E3F60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37429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44F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7D8C"/>
    <w:rsid w:val="007D09D8"/>
    <w:rsid w:val="007D4724"/>
    <w:rsid w:val="007E0B53"/>
    <w:rsid w:val="007E15E0"/>
    <w:rsid w:val="007E44AB"/>
    <w:rsid w:val="007E5323"/>
    <w:rsid w:val="007F6A1C"/>
    <w:rsid w:val="007F6B5D"/>
    <w:rsid w:val="00800766"/>
    <w:rsid w:val="0080131C"/>
    <w:rsid w:val="00805843"/>
    <w:rsid w:val="00805CC5"/>
    <w:rsid w:val="0080655E"/>
    <w:rsid w:val="008107AA"/>
    <w:rsid w:val="00813045"/>
    <w:rsid w:val="008130DA"/>
    <w:rsid w:val="00815481"/>
    <w:rsid w:val="00815BC2"/>
    <w:rsid w:val="0081666B"/>
    <w:rsid w:val="00817377"/>
    <w:rsid w:val="00821B5B"/>
    <w:rsid w:val="00822622"/>
    <w:rsid w:val="00831E2B"/>
    <w:rsid w:val="00832D28"/>
    <w:rsid w:val="0083681A"/>
    <w:rsid w:val="00837EB5"/>
    <w:rsid w:val="00847102"/>
    <w:rsid w:val="00853C6E"/>
    <w:rsid w:val="00857CA5"/>
    <w:rsid w:val="00867510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0504"/>
    <w:rsid w:val="008A3DC3"/>
    <w:rsid w:val="008A58D4"/>
    <w:rsid w:val="008A6E66"/>
    <w:rsid w:val="008B059D"/>
    <w:rsid w:val="008B111B"/>
    <w:rsid w:val="008C1EA3"/>
    <w:rsid w:val="008C345B"/>
    <w:rsid w:val="008C6F6A"/>
    <w:rsid w:val="008D024B"/>
    <w:rsid w:val="008D2730"/>
    <w:rsid w:val="008D51A0"/>
    <w:rsid w:val="008D5219"/>
    <w:rsid w:val="008E494E"/>
    <w:rsid w:val="008E4E9F"/>
    <w:rsid w:val="008E64A6"/>
    <w:rsid w:val="008F12C5"/>
    <w:rsid w:val="008F15EA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78F"/>
    <w:rsid w:val="0096795D"/>
    <w:rsid w:val="00973D37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06EB"/>
    <w:rsid w:val="009A3885"/>
    <w:rsid w:val="009A4FA7"/>
    <w:rsid w:val="009A6291"/>
    <w:rsid w:val="009A6579"/>
    <w:rsid w:val="009B0737"/>
    <w:rsid w:val="009B0D6E"/>
    <w:rsid w:val="009B1B42"/>
    <w:rsid w:val="009B2887"/>
    <w:rsid w:val="009B6FCA"/>
    <w:rsid w:val="009B7675"/>
    <w:rsid w:val="009C29B1"/>
    <w:rsid w:val="009C6EA8"/>
    <w:rsid w:val="009D180F"/>
    <w:rsid w:val="009D2241"/>
    <w:rsid w:val="009D4F89"/>
    <w:rsid w:val="009D671D"/>
    <w:rsid w:val="009D6996"/>
    <w:rsid w:val="009E2F8C"/>
    <w:rsid w:val="009E4BB1"/>
    <w:rsid w:val="009E6AC3"/>
    <w:rsid w:val="009F1F68"/>
    <w:rsid w:val="009F21C4"/>
    <w:rsid w:val="009F23EF"/>
    <w:rsid w:val="009F28D2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554A1"/>
    <w:rsid w:val="00A55625"/>
    <w:rsid w:val="00A56A3B"/>
    <w:rsid w:val="00A608CA"/>
    <w:rsid w:val="00A60995"/>
    <w:rsid w:val="00A648D1"/>
    <w:rsid w:val="00A65F12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A29A8"/>
    <w:rsid w:val="00AB0545"/>
    <w:rsid w:val="00AB1D2A"/>
    <w:rsid w:val="00AB30DB"/>
    <w:rsid w:val="00AC28D6"/>
    <w:rsid w:val="00AC3065"/>
    <w:rsid w:val="00AC4C87"/>
    <w:rsid w:val="00AC4DAC"/>
    <w:rsid w:val="00AC6A57"/>
    <w:rsid w:val="00AD04AA"/>
    <w:rsid w:val="00AD1A34"/>
    <w:rsid w:val="00AD4C46"/>
    <w:rsid w:val="00AD62F0"/>
    <w:rsid w:val="00AD642D"/>
    <w:rsid w:val="00AE1A13"/>
    <w:rsid w:val="00AE298D"/>
    <w:rsid w:val="00AE34C9"/>
    <w:rsid w:val="00AE3BB8"/>
    <w:rsid w:val="00AE3EB4"/>
    <w:rsid w:val="00AE6343"/>
    <w:rsid w:val="00AF276C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347C2"/>
    <w:rsid w:val="00B40DFC"/>
    <w:rsid w:val="00B441CE"/>
    <w:rsid w:val="00B46E8C"/>
    <w:rsid w:val="00B500F8"/>
    <w:rsid w:val="00B60590"/>
    <w:rsid w:val="00B65888"/>
    <w:rsid w:val="00B704CC"/>
    <w:rsid w:val="00B81A3B"/>
    <w:rsid w:val="00B85795"/>
    <w:rsid w:val="00B86C67"/>
    <w:rsid w:val="00B92635"/>
    <w:rsid w:val="00B95302"/>
    <w:rsid w:val="00B97E5A"/>
    <w:rsid w:val="00BA51DE"/>
    <w:rsid w:val="00BA6A26"/>
    <w:rsid w:val="00BA70FF"/>
    <w:rsid w:val="00BA71CB"/>
    <w:rsid w:val="00BB2089"/>
    <w:rsid w:val="00BB352F"/>
    <w:rsid w:val="00BB4423"/>
    <w:rsid w:val="00BB55D6"/>
    <w:rsid w:val="00BC0D66"/>
    <w:rsid w:val="00BC1205"/>
    <w:rsid w:val="00BC27D0"/>
    <w:rsid w:val="00BC4153"/>
    <w:rsid w:val="00BD05F0"/>
    <w:rsid w:val="00BD0F21"/>
    <w:rsid w:val="00BD2974"/>
    <w:rsid w:val="00BD2F20"/>
    <w:rsid w:val="00BD363D"/>
    <w:rsid w:val="00BD5FEE"/>
    <w:rsid w:val="00BD6EF6"/>
    <w:rsid w:val="00BD795A"/>
    <w:rsid w:val="00BD7E94"/>
    <w:rsid w:val="00BE0E5A"/>
    <w:rsid w:val="00BE4F46"/>
    <w:rsid w:val="00BF05EC"/>
    <w:rsid w:val="00BF0DA5"/>
    <w:rsid w:val="00BF155E"/>
    <w:rsid w:val="00BF1EAF"/>
    <w:rsid w:val="00BF2D61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379"/>
    <w:rsid w:val="00C22763"/>
    <w:rsid w:val="00C234BD"/>
    <w:rsid w:val="00C24714"/>
    <w:rsid w:val="00C334B0"/>
    <w:rsid w:val="00C34FFF"/>
    <w:rsid w:val="00C35013"/>
    <w:rsid w:val="00C407A2"/>
    <w:rsid w:val="00C41C9C"/>
    <w:rsid w:val="00C434EA"/>
    <w:rsid w:val="00C46012"/>
    <w:rsid w:val="00C47C42"/>
    <w:rsid w:val="00C547F1"/>
    <w:rsid w:val="00C55548"/>
    <w:rsid w:val="00C5567F"/>
    <w:rsid w:val="00C60C7C"/>
    <w:rsid w:val="00C61EBD"/>
    <w:rsid w:val="00C63ADE"/>
    <w:rsid w:val="00C63D82"/>
    <w:rsid w:val="00C73AAD"/>
    <w:rsid w:val="00C746BD"/>
    <w:rsid w:val="00C76AED"/>
    <w:rsid w:val="00C77E4B"/>
    <w:rsid w:val="00C8517F"/>
    <w:rsid w:val="00C919A0"/>
    <w:rsid w:val="00C960B7"/>
    <w:rsid w:val="00CA4DB0"/>
    <w:rsid w:val="00CA5627"/>
    <w:rsid w:val="00CB0036"/>
    <w:rsid w:val="00CC1EAA"/>
    <w:rsid w:val="00CC316C"/>
    <w:rsid w:val="00CD08DE"/>
    <w:rsid w:val="00CD19F7"/>
    <w:rsid w:val="00CD4658"/>
    <w:rsid w:val="00CD523F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15B6"/>
    <w:rsid w:val="00D27B49"/>
    <w:rsid w:val="00D31E52"/>
    <w:rsid w:val="00D33806"/>
    <w:rsid w:val="00D34058"/>
    <w:rsid w:val="00D36A48"/>
    <w:rsid w:val="00D42F01"/>
    <w:rsid w:val="00D4300F"/>
    <w:rsid w:val="00D432FD"/>
    <w:rsid w:val="00D465C9"/>
    <w:rsid w:val="00D46FAC"/>
    <w:rsid w:val="00D510F7"/>
    <w:rsid w:val="00D54E63"/>
    <w:rsid w:val="00D71B10"/>
    <w:rsid w:val="00D729BF"/>
    <w:rsid w:val="00D747A8"/>
    <w:rsid w:val="00D75691"/>
    <w:rsid w:val="00D76F3A"/>
    <w:rsid w:val="00D7710D"/>
    <w:rsid w:val="00D776E8"/>
    <w:rsid w:val="00D81D49"/>
    <w:rsid w:val="00D82DAA"/>
    <w:rsid w:val="00D83A25"/>
    <w:rsid w:val="00D83E09"/>
    <w:rsid w:val="00D848BE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4CC9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370"/>
    <w:rsid w:val="00E36750"/>
    <w:rsid w:val="00E37C15"/>
    <w:rsid w:val="00E4060D"/>
    <w:rsid w:val="00E4062C"/>
    <w:rsid w:val="00E40C3D"/>
    <w:rsid w:val="00E44884"/>
    <w:rsid w:val="00E456F1"/>
    <w:rsid w:val="00E45F2A"/>
    <w:rsid w:val="00E46188"/>
    <w:rsid w:val="00E4780C"/>
    <w:rsid w:val="00E51D7E"/>
    <w:rsid w:val="00E54BEE"/>
    <w:rsid w:val="00E55433"/>
    <w:rsid w:val="00E5715D"/>
    <w:rsid w:val="00E5727F"/>
    <w:rsid w:val="00E578C4"/>
    <w:rsid w:val="00E636E6"/>
    <w:rsid w:val="00E6481D"/>
    <w:rsid w:val="00E64AEC"/>
    <w:rsid w:val="00E65D35"/>
    <w:rsid w:val="00E660DD"/>
    <w:rsid w:val="00E7187F"/>
    <w:rsid w:val="00E72019"/>
    <w:rsid w:val="00E72902"/>
    <w:rsid w:val="00E739D4"/>
    <w:rsid w:val="00E749C3"/>
    <w:rsid w:val="00E7590D"/>
    <w:rsid w:val="00E8190F"/>
    <w:rsid w:val="00E8432A"/>
    <w:rsid w:val="00E913B2"/>
    <w:rsid w:val="00EA2981"/>
    <w:rsid w:val="00EA2CD3"/>
    <w:rsid w:val="00EA2F2A"/>
    <w:rsid w:val="00EA401F"/>
    <w:rsid w:val="00EA5B86"/>
    <w:rsid w:val="00EB1459"/>
    <w:rsid w:val="00EB1B71"/>
    <w:rsid w:val="00EB252D"/>
    <w:rsid w:val="00EB2961"/>
    <w:rsid w:val="00EB2CA3"/>
    <w:rsid w:val="00EB334C"/>
    <w:rsid w:val="00EB4238"/>
    <w:rsid w:val="00EB49AC"/>
    <w:rsid w:val="00EB4B61"/>
    <w:rsid w:val="00EB6DC0"/>
    <w:rsid w:val="00EC22D0"/>
    <w:rsid w:val="00EC23F2"/>
    <w:rsid w:val="00EC2A4F"/>
    <w:rsid w:val="00EC6CB8"/>
    <w:rsid w:val="00EC789A"/>
    <w:rsid w:val="00ED0B05"/>
    <w:rsid w:val="00ED27FC"/>
    <w:rsid w:val="00EE26A4"/>
    <w:rsid w:val="00EE505B"/>
    <w:rsid w:val="00EE6F6F"/>
    <w:rsid w:val="00EF544D"/>
    <w:rsid w:val="00F01A99"/>
    <w:rsid w:val="00F024C3"/>
    <w:rsid w:val="00F03600"/>
    <w:rsid w:val="00F06772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8DC"/>
    <w:rsid w:val="00F41BD7"/>
    <w:rsid w:val="00F41EBA"/>
    <w:rsid w:val="00F43485"/>
    <w:rsid w:val="00F4702E"/>
    <w:rsid w:val="00F47C51"/>
    <w:rsid w:val="00F51A3F"/>
    <w:rsid w:val="00F5351F"/>
    <w:rsid w:val="00F537E4"/>
    <w:rsid w:val="00F56E8C"/>
    <w:rsid w:val="00F608B4"/>
    <w:rsid w:val="00F60C8B"/>
    <w:rsid w:val="00F677F0"/>
    <w:rsid w:val="00F67F9D"/>
    <w:rsid w:val="00F73353"/>
    <w:rsid w:val="00F75F7E"/>
    <w:rsid w:val="00F80C68"/>
    <w:rsid w:val="00F82539"/>
    <w:rsid w:val="00F828E6"/>
    <w:rsid w:val="00F84C72"/>
    <w:rsid w:val="00F90B4C"/>
    <w:rsid w:val="00F920AA"/>
    <w:rsid w:val="00F93942"/>
    <w:rsid w:val="00F95110"/>
    <w:rsid w:val="00FA094F"/>
    <w:rsid w:val="00FA099D"/>
    <w:rsid w:val="00FA724A"/>
    <w:rsid w:val="00FA7E88"/>
    <w:rsid w:val="00FB26C9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Sept</c:v>
                </c:pt>
                <c:pt idx="10">
                  <c:v>Oct</c:v>
                </c:pt>
                <c:pt idx="11">
                  <c:v>Nov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2408</c:v>
                </c:pt>
                <c:pt idx="1">
                  <c:v>2200</c:v>
                </c:pt>
                <c:pt idx="2">
                  <c:v>1995</c:v>
                </c:pt>
                <c:pt idx="3">
                  <c:v>2119</c:v>
                </c:pt>
                <c:pt idx="4">
                  <c:v>2012</c:v>
                </c:pt>
                <c:pt idx="5">
                  <c:v>2518</c:v>
                </c:pt>
                <c:pt idx="6">
                  <c:v>2920</c:v>
                </c:pt>
                <c:pt idx="7">
                  <c:v>2850</c:v>
                </c:pt>
                <c:pt idx="8">
                  <c:v>3190</c:v>
                </c:pt>
                <c:pt idx="9">
                  <c:v>3374</c:v>
                </c:pt>
                <c:pt idx="10">
                  <c:v>3373</c:v>
                </c:pt>
                <c:pt idx="11">
                  <c:v>3024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9D-4B84-994B-3AA569FDA238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Sept</c:v>
                </c:pt>
                <c:pt idx="10">
                  <c:v>Oct</c:v>
                </c:pt>
                <c:pt idx="11">
                  <c:v>Nov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802</c:v>
                </c:pt>
                <c:pt idx="1">
                  <c:v>1027</c:v>
                </c:pt>
                <c:pt idx="2">
                  <c:v>1177</c:v>
                </c:pt>
                <c:pt idx="3">
                  <c:v>1392</c:v>
                </c:pt>
                <c:pt idx="4">
                  <c:v>1737</c:v>
                </c:pt>
                <c:pt idx="5">
                  <c:v>1762</c:v>
                </c:pt>
                <c:pt idx="6">
                  <c:v>1523</c:v>
                </c:pt>
                <c:pt idx="7">
                  <c:v>1586</c:v>
                </c:pt>
                <c:pt idx="8" formatCode="#,##0">
                  <c:v>1422</c:v>
                </c:pt>
                <c:pt idx="9">
                  <c:v>1406</c:v>
                </c:pt>
                <c:pt idx="10">
                  <c:v>1395</c:v>
                </c:pt>
                <c:pt idx="11">
                  <c:v>1131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9D-4B84-994B-3AA569FDA2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Sept</c:v>
                </c:pt>
                <c:pt idx="10">
                  <c:v>Oct</c:v>
                </c:pt>
                <c:pt idx="11">
                  <c:v>Nov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2.2999999999999998</c:v>
                </c:pt>
                <c:pt idx="1">
                  <c:v>2.2999999999999998</c:v>
                </c:pt>
                <c:pt idx="2">
                  <c:v>2.2999999999999998</c:v>
                </c:pt>
                <c:pt idx="3">
                  <c:v>2.5</c:v>
                </c:pt>
                <c:pt idx="4">
                  <c:v>2.7</c:v>
                </c:pt>
                <c:pt idx="5">
                  <c:v>3.1</c:v>
                </c:pt>
                <c:pt idx="6">
                  <c:v>3.2</c:v>
                </c:pt>
                <c:pt idx="7">
                  <c:v>3.1</c:v>
                </c:pt>
                <c:pt idx="8">
                  <c:v>3.3</c:v>
                </c:pt>
                <c:pt idx="9">
                  <c:v>3.4</c:v>
                </c:pt>
                <c:pt idx="10">
                  <c:v>3.4</c:v>
                </c:pt>
                <c:pt idx="11">
                  <c:v>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39D-4B84-994B-3AA569FDA238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Sept</c:v>
                </c:pt>
                <c:pt idx="10">
                  <c:v>Oct</c:v>
                </c:pt>
                <c:pt idx="11">
                  <c:v>Nov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1.2</c:v>
                </c:pt>
                <c:pt idx="6">
                  <c:v>1.4</c:v>
                </c:pt>
                <c:pt idx="7">
                  <c:v>1.5</c:v>
                </c:pt>
                <c:pt idx="8">
                  <c:v>1.6</c:v>
                </c:pt>
                <c:pt idx="9">
                  <c:v>1.8</c:v>
                </c:pt>
                <c:pt idx="10">
                  <c:v>1.7</c:v>
                </c:pt>
                <c:pt idx="11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39D-4B84-994B-3AA569FDA2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Data'!$P$161:$P$172</c:f>
              <c:strCache>
                <c:ptCount val="12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</c:strCache>
            </c:strRef>
          </c:cat>
          <c:val>
            <c:numRef>
              <c:f>'Monthly Stats Data'!$Q$161:$Q$172</c:f>
              <c:numCache>
                <c:formatCode>_(* #,##0_);_(* \(#,##0\);_(* "-"??_);_(@_)</c:formatCode>
                <c:ptCount val="12"/>
                <c:pt idx="0">
                  <c:v>3210</c:v>
                </c:pt>
                <c:pt idx="1">
                  <c:v>3227</c:v>
                </c:pt>
                <c:pt idx="2">
                  <c:v>3172</c:v>
                </c:pt>
                <c:pt idx="3">
                  <c:v>3511</c:v>
                </c:pt>
                <c:pt idx="4">
                  <c:v>3749</c:v>
                </c:pt>
                <c:pt idx="5">
                  <c:v>4280</c:v>
                </c:pt>
                <c:pt idx="6">
                  <c:v>4443</c:v>
                </c:pt>
                <c:pt idx="7">
                  <c:v>4436</c:v>
                </c:pt>
                <c:pt idx="8">
                  <c:v>4612</c:v>
                </c:pt>
                <c:pt idx="9">
                  <c:v>4780</c:v>
                </c:pt>
                <c:pt idx="10">
                  <c:v>4768</c:v>
                </c:pt>
                <c:pt idx="11">
                  <c:v>4155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B-4A4A-8ADC-C0F965773244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Data'!$P$161:$P$172</c:f>
              <c:strCache>
                <c:ptCount val="12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</c:strCache>
            </c:strRef>
          </c:cat>
          <c:val>
            <c:numRef>
              <c:f>'Monthly Stats Data'!$T$161:$T$172</c:f>
              <c:numCache>
                <c:formatCode>_(* #,##0_);_(* \(#,##0\);_(* "-"??_);_(@_)</c:formatCode>
                <c:ptCount val="12"/>
                <c:pt idx="0">
                  <c:v>5100</c:v>
                </c:pt>
                <c:pt idx="1">
                  <c:v>5175</c:v>
                </c:pt>
                <c:pt idx="2">
                  <c:v>5265</c:v>
                </c:pt>
                <c:pt idx="3">
                  <c:v>4905</c:v>
                </c:pt>
                <c:pt idx="4">
                  <c:v>4635</c:v>
                </c:pt>
                <c:pt idx="5">
                  <c:v>4075</c:v>
                </c:pt>
                <c:pt idx="6">
                  <c:v>3910</c:v>
                </c:pt>
                <c:pt idx="7">
                  <c:v>4020</c:v>
                </c:pt>
                <c:pt idx="8">
                  <c:v>3840</c:v>
                </c:pt>
                <c:pt idx="9">
                  <c:v>3675</c:v>
                </c:pt>
                <c:pt idx="10">
                  <c:v>3730</c:v>
                </c:pt>
                <c:pt idx="11">
                  <c:v>4360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CB-4A4A-8ADC-C0F9657732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806</Words>
  <Characters>4035</Characters>
  <Application>Microsoft Office Word</Application>
  <DocSecurity>0</DocSecurity>
  <Lines>168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3</cp:revision>
  <cp:lastPrinted>2025-12-11T21:28:00Z</cp:lastPrinted>
  <dcterms:created xsi:type="dcterms:W3CDTF">2025-12-11T19:38:00Z</dcterms:created>
  <dcterms:modified xsi:type="dcterms:W3CDTF">2025-12-11T21:49:00Z</dcterms:modified>
</cp:coreProperties>
</file>