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DFBFF" w14:textId="1ADE0D7F" w:rsidR="00127EF0" w:rsidRDefault="001C3CE4" w:rsidP="001F5CBD">
      <w:pPr>
        <w:jc w:val="center"/>
        <w:rPr>
          <w:sz w:val="24"/>
          <w:szCs w:val="24"/>
        </w:rPr>
      </w:pPr>
      <w:bookmarkStart w:id="0" w:name="_MailOriginal"/>
      <w:r>
        <w:rPr>
          <w:noProof/>
        </w:rPr>
        <mc:AlternateContent>
          <mc:Choice Requires="wps">
            <w:drawing>
              <wp:anchor distT="0" distB="0" distL="114300" distR="114300" simplePos="0" relativeHeight="251667456" behindDoc="0" locked="0" layoutInCell="1" allowOverlap="1" wp14:anchorId="29A976A9" wp14:editId="7452784D">
                <wp:simplePos x="0" y="0"/>
                <wp:positionH relativeFrom="column">
                  <wp:posOffset>4086225</wp:posOffset>
                </wp:positionH>
                <wp:positionV relativeFrom="paragraph">
                  <wp:posOffset>-581025</wp:posOffset>
                </wp:positionV>
                <wp:extent cx="2298700" cy="1209675"/>
                <wp:effectExtent l="0" t="0" r="0" b="0"/>
                <wp:wrapNone/>
                <wp:docPr id="198374770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0" cy="12096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7EB74D" w14:textId="0101B862" w:rsidR="00AD4C46" w:rsidRPr="000478F6" w:rsidRDefault="009B1B42" w:rsidP="006E0DB1">
                            <w:pPr>
                              <w:ind w:firstLine="720"/>
                              <w:jc w:val="right"/>
                              <w:rPr>
                                <w:b/>
                                <w:color w:val="FFFFFF" w:themeColor="background1"/>
                                <w:sz w:val="26"/>
                                <w:szCs w:val="26"/>
                              </w:rPr>
                            </w:pPr>
                            <w:r>
                              <w:rPr>
                                <w:b/>
                                <w:color w:val="FFFFFF" w:themeColor="background1"/>
                                <w:sz w:val="26"/>
                                <w:szCs w:val="26"/>
                              </w:rPr>
                              <w:t>J</w:t>
                            </w:r>
                            <w:r w:rsidR="00133D00">
                              <w:rPr>
                                <w:b/>
                                <w:color w:val="FFFFFF" w:themeColor="background1"/>
                                <w:sz w:val="26"/>
                                <w:szCs w:val="26"/>
                              </w:rPr>
                              <w:t>anuary</w:t>
                            </w:r>
                            <w:r>
                              <w:rPr>
                                <w:b/>
                                <w:color w:val="FFFFFF" w:themeColor="background1"/>
                                <w:sz w:val="26"/>
                                <w:szCs w:val="26"/>
                              </w:rPr>
                              <w:t xml:space="preserve"> 1</w:t>
                            </w:r>
                            <w:r w:rsidR="001F1FB1">
                              <w:rPr>
                                <w:b/>
                                <w:color w:val="FFFFFF" w:themeColor="background1"/>
                                <w:sz w:val="26"/>
                                <w:szCs w:val="26"/>
                              </w:rPr>
                              <w:t>4</w:t>
                            </w:r>
                            <w:r w:rsidR="00C46012">
                              <w:rPr>
                                <w:b/>
                                <w:color w:val="FFFFFF" w:themeColor="background1"/>
                                <w:sz w:val="26"/>
                                <w:szCs w:val="26"/>
                              </w:rPr>
                              <w:t>, 202</w:t>
                            </w:r>
                            <w:r w:rsidR="00133D00">
                              <w:rPr>
                                <w:b/>
                                <w:color w:val="FFFFFF" w:themeColor="background1"/>
                                <w:sz w:val="26"/>
                                <w:szCs w:val="26"/>
                              </w:rPr>
                              <w:t>6</w:t>
                            </w:r>
                          </w:p>
                          <w:p w14:paraId="12DC1A80" w14:textId="20F159D3" w:rsidR="00AD4C46" w:rsidRDefault="00AD4C46" w:rsidP="006E0DB1">
                            <w:pPr>
                              <w:ind w:firstLine="720"/>
                              <w:jc w:val="right"/>
                              <w:rPr>
                                <w:b/>
                                <w:sz w:val="26"/>
                                <w:szCs w:val="26"/>
                              </w:rPr>
                            </w:pPr>
                          </w:p>
                          <w:p w14:paraId="660FA567" w14:textId="77777777" w:rsidR="00AD4C46" w:rsidRPr="001F5CBD" w:rsidRDefault="00AD4C46" w:rsidP="006E0DB1">
                            <w:pPr>
                              <w:ind w:firstLine="720"/>
                              <w:jc w:val="right"/>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A976A9" id="Rectangle 2" o:spid="_x0000_s1026" style="position:absolute;left:0;text-align:left;margin-left:321.75pt;margin-top:-45.75pt;width:181pt;height:9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" filled="f" stroked="f" strokeweight="1pt">
                <v:textbox>
                  <w:txbxContent>
                    <w:p w14:paraId="647EB74D" w14:textId="0101B862" w:rsidR="00AD4C46" w:rsidRPr="000478F6" w:rsidRDefault="009B1B42" w:rsidP="006E0DB1">
                      <w:pPr>
                        <w:ind w:firstLine="720"/>
                        <w:jc w:val="right"/>
                        <w:rPr>
                          <w:b/>
                          <w:color w:val="FFFFFF" w:themeColor="background1"/>
                          <w:sz w:val="26"/>
                          <w:szCs w:val="26"/>
                        </w:rPr>
                      </w:pPr>
                      <w:r>
                        <w:rPr>
                          <w:b/>
                          <w:color w:val="FFFFFF" w:themeColor="background1"/>
                          <w:sz w:val="26"/>
                          <w:szCs w:val="26"/>
                        </w:rPr>
                        <w:t>J</w:t>
                      </w:r>
                      <w:r w:rsidR="00133D00">
                        <w:rPr>
                          <w:b/>
                          <w:color w:val="FFFFFF" w:themeColor="background1"/>
                          <w:sz w:val="26"/>
                          <w:szCs w:val="26"/>
                        </w:rPr>
                        <w:t>anuary</w:t>
                      </w:r>
                      <w:r>
                        <w:rPr>
                          <w:b/>
                          <w:color w:val="FFFFFF" w:themeColor="background1"/>
                          <w:sz w:val="26"/>
                          <w:szCs w:val="26"/>
                        </w:rPr>
                        <w:t xml:space="preserve"> 1</w:t>
                      </w:r>
                      <w:r w:rsidR="001F1FB1">
                        <w:rPr>
                          <w:b/>
                          <w:color w:val="FFFFFF" w:themeColor="background1"/>
                          <w:sz w:val="26"/>
                          <w:szCs w:val="26"/>
                        </w:rPr>
                        <w:t>4</w:t>
                      </w:r>
                      <w:r w:rsidR="00C46012">
                        <w:rPr>
                          <w:b/>
                          <w:color w:val="FFFFFF" w:themeColor="background1"/>
                          <w:sz w:val="26"/>
                          <w:szCs w:val="26"/>
                        </w:rPr>
                        <w:t>, 202</w:t>
                      </w:r>
                      <w:r w:rsidR="00133D00">
                        <w:rPr>
                          <w:b/>
                          <w:color w:val="FFFFFF" w:themeColor="background1"/>
                          <w:sz w:val="26"/>
                          <w:szCs w:val="26"/>
                        </w:rPr>
                        <w:t>6</w:t>
                      </w:r>
                    </w:p>
                    <w:p w14:paraId="12DC1A80" w14:textId="20F159D3" w:rsidR="00AD4C46" w:rsidRDefault="00AD4C46" w:rsidP="006E0DB1">
                      <w:pPr>
                        <w:ind w:firstLine="720"/>
                        <w:jc w:val="right"/>
                        <w:rPr>
                          <w:b/>
                          <w:sz w:val="26"/>
                          <w:szCs w:val="26"/>
                        </w:rPr>
                      </w:pPr>
                    </w:p>
                    <w:p w14:paraId="660FA567" w14:textId="77777777" w:rsidR="00AD4C46" w:rsidRPr="001F5CBD" w:rsidRDefault="00AD4C46" w:rsidP="006E0DB1">
                      <w:pPr>
                        <w:ind w:firstLine="720"/>
                        <w:jc w:val="right"/>
                        <w:rPr>
                          <w:color w:val="FFFFFF" w:themeColor="background1"/>
                        </w:rPr>
                      </w:pPr>
                    </w:p>
                  </w:txbxContent>
                </v:textbox>
              </v:rect>
            </w:pict>
          </mc:Fallback>
        </mc:AlternateContent>
      </w:r>
      <w:r>
        <w:rPr>
          <w:noProof/>
        </w:rPr>
        <mc:AlternateContent>
          <mc:Choice Requires="wps">
            <w:drawing>
              <wp:anchor distT="0" distB="0" distL="114300" distR="114300" simplePos="0" relativeHeight="251665408" behindDoc="0" locked="0" layoutInCell="1" allowOverlap="1" wp14:anchorId="3FA0332F" wp14:editId="3D22F3BD">
                <wp:simplePos x="0" y="0"/>
                <wp:positionH relativeFrom="column">
                  <wp:posOffset>-914400</wp:posOffset>
                </wp:positionH>
                <wp:positionV relativeFrom="paragraph">
                  <wp:posOffset>-647700</wp:posOffset>
                </wp:positionV>
                <wp:extent cx="3429000" cy="1434465"/>
                <wp:effectExtent l="0" t="0" r="0" b="0"/>
                <wp:wrapNone/>
                <wp:docPr id="203070623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4344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1E8FBD" w14:textId="77777777" w:rsidR="00086B75" w:rsidRPr="000478F6" w:rsidRDefault="00086B75" w:rsidP="00AD4C46">
                            <w:pPr>
                              <w:pStyle w:val="FORIMMEDIATERELEASE"/>
                              <w:rPr>
                                <w:color w:val="FFFFFF" w:themeColor="background1"/>
                              </w:rPr>
                            </w:pPr>
                            <w:r w:rsidRPr="000478F6">
                              <w:rPr>
                                <w:color w:val="FFFFFF" w:themeColor="background1"/>
                              </w:rPr>
                              <w:t>For Immediate Release</w:t>
                            </w:r>
                          </w:p>
                          <w:p w14:paraId="5C7CF5D6" w14:textId="115A5D42" w:rsidR="00086B75" w:rsidRPr="000478F6" w:rsidRDefault="00086B75" w:rsidP="00AD4C46">
                            <w:pPr>
                              <w:pStyle w:val="ContactInfoUpperLeft"/>
                              <w:rPr>
                                <w:color w:val="FFFFFF" w:themeColor="background1"/>
                              </w:rPr>
                            </w:pPr>
                            <w:r w:rsidRPr="000478F6">
                              <w:rPr>
                                <w:color w:val="FFFFFF" w:themeColor="background1"/>
                              </w:rPr>
                              <w:t xml:space="preserve">Contact:  </w:t>
                            </w:r>
                            <w:r w:rsidR="007B1281">
                              <w:rPr>
                                <w:color w:val="FFFFFF" w:themeColor="background1"/>
                              </w:rPr>
                              <w:t>Mike Ruzicka</w:t>
                            </w:r>
                          </w:p>
                          <w:p w14:paraId="40F00B14" w14:textId="465C6961" w:rsidR="00086B75" w:rsidRPr="000478F6" w:rsidRDefault="00086B75" w:rsidP="00AD4C46">
                            <w:pPr>
                              <w:pStyle w:val="ContactInfoUpperLeft"/>
                              <w:rPr>
                                <w:color w:val="FFFFFF" w:themeColor="background1"/>
                              </w:rPr>
                            </w:pPr>
                            <w:r w:rsidRPr="000478F6">
                              <w:rPr>
                                <w:color w:val="FFFFFF" w:themeColor="background1"/>
                              </w:rPr>
                              <w:t>414.778.4929 or 414.870.187</w:t>
                            </w:r>
                            <w:r w:rsidR="00DA467F">
                              <w:rPr>
                                <w:color w:val="FFFFFF" w:themeColor="background1"/>
                              </w:rPr>
                              <w:t>4</w:t>
                            </w:r>
                          </w:p>
                          <w:p w14:paraId="53E5CD2A" w14:textId="09B004E0" w:rsidR="00086B75" w:rsidRPr="00AD4C46" w:rsidRDefault="00086B75" w:rsidP="00AD4C46">
                            <w:pPr>
                              <w:pStyle w:val="ContactInfoUpperLeft"/>
                            </w:pPr>
                            <w:hyperlink r:id="rId8" w:history="1">
                              <w:r w:rsidRPr="000478F6">
                                <w:rPr>
                                  <w:rStyle w:val="Hyperlink"/>
                                  <w:color w:val="FFFFFF" w:themeColor="background1"/>
                                  <w:u w:val="none"/>
                                </w:rPr>
                                <w:t>mike@gmar.</w:t>
                              </w:r>
                            </w:hyperlink>
                            <w:r w:rsidRPr="000478F6">
                              <w:rPr>
                                <w:rStyle w:val="Hyperlink"/>
                                <w:color w:val="FFFFFF" w:themeColor="background1"/>
                                <w:u w:val="none"/>
                              </w:rPr>
                              <w:t>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0332F" id="Rectangle 1" o:spid="_x0000_s1027" style="position:absolute;left:0;text-align:left;margin-left:-1in;margin-top:-51pt;width:270pt;height:11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" filled="f" stroked="f" strokeweight="1pt">
                <v:textbox>
                  <w:txbxContent>
                    <w:p w14:paraId="111E8FBD" w14:textId="77777777" w:rsidR="00086B75" w:rsidRPr="000478F6" w:rsidRDefault="00086B75" w:rsidP="00AD4C46">
                      <w:pPr>
                        <w:pStyle w:val="FORIMMEDIATERELEASE"/>
                        <w:rPr>
                          <w:color w:val="FFFFFF" w:themeColor="background1"/>
                        </w:rPr>
                      </w:pPr>
                      <w:r w:rsidRPr="000478F6">
                        <w:rPr>
                          <w:color w:val="FFFFFF" w:themeColor="background1"/>
                        </w:rPr>
                        <w:t>For Immediate Release</w:t>
                      </w:r>
                    </w:p>
                    <w:p w14:paraId="5C7CF5D6" w14:textId="115A5D42" w:rsidR="00086B75" w:rsidRPr="000478F6" w:rsidRDefault="00086B75" w:rsidP="00AD4C46">
                      <w:pPr>
                        <w:pStyle w:val="ContactInfoUpperLeft"/>
                        <w:rPr>
                          <w:color w:val="FFFFFF" w:themeColor="background1"/>
                        </w:rPr>
                      </w:pPr>
                      <w:r w:rsidRPr="000478F6">
                        <w:rPr>
                          <w:color w:val="FFFFFF" w:themeColor="background1"/>
                        </w:rPr>
                        <w:t xml:space="preserve">Contact:  </w:t>
                      </w:r>
                      <w:r w:rsidR="007B1281">
                        <w:rPr>
                          <w:color w:val="FFFFFF" w:themeColor="background1"/>
                        </w:rPr>
                        <w:t>Mike Ruzicka</w:t>
                      </w:r>
                    </w:p>
                    <w:p w14:paraId="40F00B14" w14:textId="465C6961" w:rsidR="00086B75" w:rsidRPr="000478F6" w:rsidRDefault="00086B75" w:rsidP="00AD4C46">
                      <w:pPr>
                        <w:pStyle w:val="ContactInfoUpperLeft"/>
                        <w:rPr>
                          <w:color w:val="FFFFFF" w:themeColor="background1"/>
                        </w:rPr>
                      </w:pPr>
                      <w:r w:rsidRPr="000478F6">
                        <w:rPr>
                          <w:color w:val="FFFFFF" w:themeColor="background1"/>
                        </w:rPr>
                        <w:t>414.778.4929 or 414.870.187</w:t>
                      </w:r>
                      <w:r w:rsidR="00DA467F">
                        <w:rPr>
                          <w:color w:val="FFFFFF" w:themeColor="background1"/>
                        </w:rPr>
                        <w:t>4</w:t>
                      </w:r>
                    </w:p>
                    <w:p w14:paraId="53E5CD2A" w14:textId="09B004E0" w:rsidR="00086B75" w:rsidRPr="00AD4C46" w:rsidRDefault="00086B75" w:rsidP="00AD4C46">
                      <w:pPr>
                        <w:pStyle w:val="ContactInfoUpperLeft"/>
                      </w:pPr>
                      <w:hyperlink r:id="rId9" w:history="1">
                        <w:r w:rsidRPr="000478F6">
                          <w:rPr>
                            <w:rStyle w:val="Hyperlink"/>
                            <w:color w:val="FFFFFF" w:themeColor="background1"/>
                            <w:u w:val="none"/>
                          </w:rPr>
                          <w:t>mike@gmar.</w:t>
                        </w:r>
                      </w:hyperlink>
                      <w:r w:rsidRPr="000478F6">
                        <w:rPr>
                          <w:rStyle w:val="Hyperlink"/>
                          <w:color w:val="FFFFFF" w:themeColor="background1"/>
                          <w:u w:val="none"/>
                        </w:rPr>
                        <w:t>com</w:t>
                      </w:r>
                    </w:p>
                  </w:txbxContent>
                </v:textbox>
              </v:rect>
            </w:pict>
          </mc:Fallback>
        </mc:AlternateContent>
      </w:r>
      <w:r w:rsidR="00127EF0">
        <w:rPr>
          <w:sz w:val="24"/>
          <w:szCs w:val="24"/>
        </w:rPr>
        <w:t xml:space="preserve"> </w:t>
      </w:r>
    </w:p>
    <w:p w14:paraId="33E945B2" w14:textId="522DA28B" w:rsidR="00127EF0" w:rsidRDefault="00127EF0" w:rsidP="00127EF0">
      <w:pPr>
        <w:rPr>
          <w:sz w:val="24"/>
          <w:szCs w:val="24"/>
        </w:rPr>
      </w:pPr>
    </w:p>
    <w:p w14:paraId="17239243" w14:textId="42821389" w:rsidR="00127EF0" w:rsidRDefault="00127EF0" w:rsidP="00127EF0">
      <w:pPr>
        <w:rPr>
          <w:sz w:val="24"/>
          <w:szCs w:val="24"/>
        </w:rPr>
      </w:pPr>
    </w:p>
    <w:p w14:paraId="4AAECA96" w14:textId="58DD31EA" w:rsidR="00127EF0" w:rsidRDefault="00127EF0" w:rsidP="00127EF0">
      <w:pPr>
        <w:jc w:val="center"/>
        <w:rPr>
          <w:rFonts w:eastAsia="Times New Roman"/>
          <w:b/>
          <w:bCs/>
          <w:sz w:val="24"/>
          <w:szCs w:val="24"/>
        </w:rPr>
      </w:pPr>
    </w:p>
    <w:p w14:paraId="2E9EC9D0" w14:textId="28BC2847" w:rsidR="001F5CBD" w:rsidRPr="00DB59A4" w:rsidRDefault="001F5CBD" w:rsidP="00127EF0">
      <w:pPr>
        <w:spacing w:before="120" w:after="120"/>
        <w:ind w:left="-360" w:right="-360"/>
        <w:jc w:val="center"/>
        <w:rPr>
          <w:rFonts w:ascii="Arial Narrow" w:hAnsi="Arial Narrow"/>
          <w:b/>
          <w:bCs/>
          <w:sz w:val="32"/>
          <w:szCs w:val="32"/>
        </w:rPr>
      </w:pPr>
    </w:p>
    <w:p w14:paraId="24DE3ED6" w14:textId="2E0715F2" w:rsidR="00775F51" w:rsidRDefault="009B1B42" w:rsidP="00AD4C46">
      <w:pPr>
        <w:pStyle w:val="Heading1"/>
      </w:pPr>
      <w:r>
        <w:t>2</w:t>
      </w:r>
      <w:r w:rsidR="00133D00">
        <w:t xml:space="preserve">025 </w:t>
      </w:r>
      <w:r w:rsidR="00775F51">
        <w:t xml:space="preserve">Home Sales </w:t>
      </w:r>
      <w:r w:rsidR="00737429">
        <w:t>Up 1</w:t>
      </w:r>
      <w:r w:rsidR="00775F51">
        <w:t>%</w:t>
      </w:r>
    </w:p>
    <w:p w14:paraId="4EFD022F" w14:textId="3BF8E26A" w:rsidR="00127EF0" w:rsidRPr="00AD4C46" w:rsidRDefault="00133D00" w:rsidP="00AD4C46">
      <w:pPr>
        <w:pStyle w:val="Heading1"/>
      </w:pPr>
      <w:r>
        <w:t>December</w:t>
      </w:r>
      <w:r w:rsidR="00681DC8" w:rsidRPr="00AD4C46">
        <w:t xml:space="preserve"> </w:t>
      </w:r>
      <w:r w:rsidR="007928FE" w:rsidRPr="00AD4C46">
        <w:t xml:space="preserve">Home </w:t>
      </w:r>
      <w:r w:rsidR="00681DC8" w:rsidRPr="00AD4C46">
        <w:t xml:space="preserve">Sales </w:t>
      </w:r>
      <w:r w:rsidR="00DB59A4">
        <w:t>Up 2</w:t>
      </w:r>
      <w:r w:rsidR="00B347C2">
        <w:t>.</w:t>
      </w:r>
      <w:r w:rsidR="00DB59A4">
        <w:t>1</w:t>
      </w:r>
      <w:r w:rsidR="00681DC8" w:rsidRPr="00AD4C46">
        <w:t>%</w:t>
      </w:r>
    </w:p>
    <w:p w14:paraId="33BE1908" w14:textId="4074191F" w:rsidR="00127EF0" w:rsidRPr="00E302C4" w:rsidRDefault="00127EF0" w:rsidP="00E302C4">
      <w:pPr>
        <w:ind w:left="-360" w:right="-360"/>
        <w:jc w:val="center"/>
        <w:rPr>
          <w:rFonts w:eastAsia="Times New Roman"/>
          <w:b/>
          <w:bCs/>
          <w:sz w:val="24"/>
          <w:szCs w:val="24"/>
        </w:rPr>
      </w:pPr>
    </w:p>
    <w:tbl>
      <w:tblPr>
        <w:tblStyle w:val="TableGrid"/>
        <w:tblpPr w:leftFromText="180" w:rightFromText="180" w:vertAnchor="text" w:horzAnchor="margin" w:tblpXSpec="center" w:tblpY="150"/>
        <w:tblW w:w="97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8280"/>
        <w:gridCol w:w="1465"/>
      </w:tblGrid>
      <w:tr w:rsidR="00E913B2" w:rsidRPr="002F2B80" w14:paraId="24B40EB5" w14:textId="77777777" w:rsidTr="00E8190F">
        <w:trPr>
          <w:trHeight w:val="360"/>
        </w:trPr>
        <w:tc>
          <w:tcPr>
            <w:tcW w:w="8280" w:type="dxa"/>
            <w:vAlign w:val="center"/>
          </w:tcPr>
          <w:p w14:paraId="1E501E17" w14:textId="68425F50" w:rsidR="00E913B2" w:rsidRPr="002F2B80" w:rsidRDefault="00E913B2" w:rsidP="00985B7F">
            <w:pPr>
              <w:rPr>
                <w:sz w:val="24"/>
                <w:szCs w:val="24"/>
              </w:rPr>
            </w:pPr>
            <w:r w:rsidRPr="002F2B80">
              <w:rPr>
                <w:sz w:val="24"/>
                <w:szCs w:val="24"/>
              </w:rPr>
              <w:t>Highlights</w:t>
            </w:r>
          </w:p>
        </w:tc>
        <w:tc>
          <w:tcPr>
            <w:tcW w:w="1465" w:type="dxa"/>
            <w:vAlign w:val="center"/>
          </w:tcPr>
          <w:p w14:paraId="1ED3215F" w14:textId="41CE95B1" w:rsidR="00E913B2" w:rsidRPr="002F2B80" w:rsidRDefault="00E913B2" w:rsidP="00985B7F">
            <w:pPr>
              <w:spacing w:before="120" w:after="120"/>
              <w:ind w:left="-115" w:right="-29"/>
              <w:jc w:val="right"/>
              <w:rPr>
                <w:rFonts w:ascii="Arial" w:hAnsi="Arial" w:cs="Arial"/>
                <w:b/>
                <w:bCs/>
                <w:sz w:val="24"/>
                <w:szCs w:val="24"/>
              </w:rPr>
            </w:pPr>
          </w:p>
        </w:tc>
      </w:tr>
      <w:tr w:rsidR="00E302C4" w:rsidRPr="002F2B80" w14:paraId="16998B52" w14:textId="77777777" w:rsidTr="00E8190F">
        <w:trPr>
          <w:gridAfter w:val="1"/>
          <w:wAfter w:w="1465" w:type="dxa"/>
          <w:trHeight w:val="360"/>
        </w:trPr>
        <w:tc>
          <w:tcPr>
            <w:tcW w:w="8280" w:type="dxa"/>
            <w:vAlign w:val="center"/>
          </w:tcPr>
          <w:p w14:paraId="2AA4FD63" w14:textId="39099F70" w:rsidR="00E302C4" w:rsidRPr="002F2B80" w:rsidRDefault="00C547F1" w:rsidP="00B20739">
            <w:pPr>
              <w:pStyle w:val="ListParagraph"/>
              <w:ind w:left="510"/>
              <w:rPr>
                <w:sz w:val="24"/>
                <w:szCs w:val="24"/>
              </w:rPr>
            </w:pPr>
            <w:bookmarkStart w:id="1" w:name="_Hlk195533650"/>
            <w:r>
              <w:rPr>
                <w:sz w:val="24"/>
                <w:szCs w:val="24"/>
              </w:rPr>
              <w:t xml:space="preserve">Sales </w:t>
            </w:r>
            <w:r w:rsidR="00737429">
              <w:rPr>
                <w:sz w:val="24"/>
                <w:szCs w:val="24"/>
              </w:rPr>
              <w:t>B</w:t>
            </w:r>
            <w:r w:rsidR="0029714D">
              <w:rPr>
                <w:sz w:val="24"/>
                <w:szCs w:val="24"/>
              </w:rPr>
              <w:t xml:space="preserve">asically Flat From </w:t>
            </w:r>
            <w:r w:rsidR="00737429">
              <w:rPr>
                <w:sz w:val="24"/>
                <w:szCs w:val="24"/>
              </w:rPr>
              <w:t>2024</w:t>
            </w:r>
          </w:p>
        </w:tc>
      </w:tr>
      <w:tr w:rsidR="00E302C4" w:rsidRPr="002F2B80" w14:paraId="786D284B" w14:textId="77777777" w:rsidTr="00E8190F">
        <w:trPr>
          <w:gridAfter w:val="1"/>
          <w:wAfter w:w="1465" w:type="dxa"/>
          <w:trHeight w:val="360"/>
        </w:trPr>
        <w:tc>
          <w:tcPr>
            <w:tcW w:w="8280" w:type="dxa"/>
            <w:vAlign w:val="center"/>
          </w:tcPr>
          <w:p w14:paraId="1B827FCA" w14:textId="267C2D78" w:rsidR="00E302C4" w:rsidRPr="007B1281" w:rsidRDefault="00F418DC" w:rsidP="00B20739">
            <w:pPr>
              <w:pStyle w:val="ListParagraph"/>
              <w:ind w:left="510"/>
              <w:rPr>
                <w:sz w:val="24"/>
                <w:szCs w:val="24"/>
              </w:rPr>
            </w:pPr>
            <w:r>
              <w:rPr>
                <w:sz w:val="24"/>
                <w:szCs w:val="24"/>
              </w:rPr>
              <w:t xml:space="preserve">Metro </w:t>
            </w:r>
            <w:r w:rsidRPr="008C345B">
              <w:rPr>
                <w:sz w:val="24"/>
                <w:szCs w:val="24"/>
              </w:rPr>
              <w:t xml:space="preserve">Prices Up </w:t>
            </w:r>
            <w:r w:rsidR="0029714D">
              <w:rPr>
                <w:sz w:val="24"/>
                <w:szCs w:val="24"/>
              </w:rPr>
              <w:t>6</w:t>
            </w:r>
            <w:r w:rsidR="00737429">
              <w:rPr>
                <w:sz w:val="24"/>
                <w:szCs w:val="24"/>
              </w:rPr>
              <w:t>.</w:t>
            </w:r>
            <w:r w:rsidR="0029714D">
              <w:rPr>
                <w:sz w:val="24"/>
                <w:szCs w:val="24"/>
              </w:rPr>
              <w:t>1</w:t>
            </w:r>
            <w:r w:rsidRPr="008C345B">
              <w:rPr>
                <w:sz w:val="24"/>
                <w:szCs w:val="24"/>
              </w:rPr>
              <w:t>%, Averaging $4</w:t>
            </w:r>
            <w:r w:rsidR="00737429">
              <w:rPr>
                <w:sz w:val="24"/>
                <w:szCs w:val="24"/>
              </w:rPr>
              <w:t>7</w:t>
            </w:r>
            <w:r w:rsidR="0029714D">
              <w:rPr>
                <w:sz w:val="24"/>
                <w:szCs w:val="24"/>
              </w:rPr>
              <w:t>0</w:t>
            </w:r>
            <w:r w:rsidRPr="008C345B">
              <w:rPr>
                <w:sz w:val="24"/>
                <w:szCs w:val="24"/>
              </w:rPr>
              <w:t>,</w:t>
            </w:r>
            <w:r w:rsidR="00737429">
              <w:rPr>
                <w:sz w:val="24"/>
                <w:szCs w:val="24"/>
              </w:rPr>
              <w:t>7</w:t>
            </w:r>
            <w:r w:rsidR="0029714D">
              <w:rPr>
                <w:sz w:val="24"/>
                <w:szCs w:val="24"/>
              </w:rPr>
              <w:t>02</w:t>
            </w:r>
          </w:p>
        </w:tc>
      </w:tr>
      <w:tr w:rsidR="00E302C4" w:rsidRPr="002F2B80" w14:paraId="07DD8276" w14:textId="77777777" w:rsidTr="00E8190F">
        <w:trPr>
          <w:gridAfter w:val="1"/>
          <w:wAfter w:w="1465" w:type="dxa"/>
          <w:trHeight w:val="360"/>
        </w:trPr>
        <w:tc>
          <w:tcPr>
            <w:tcW w:w="8280" w:type="dxa"/>
            <w:vAlign w:val="center"/>
          </w:tcPr>
          <w:p w14:paraId="0EAFC321" w14:textId="4340290B" w:rsidR="00E302C4" w:rsidRPr="002F2B80" w:rsidRDefault="0029714D" w:rsidP="00B20739">
            <w:pPr>
              <w:pStyle w:val="ListParagraph"/>
              <w:ind w:left="510"/>
              <w:rPr>
                <w:sz w:val="24"/>
                <w:szCs w:val="24"/>
              </w:rPr>
            </w:pPr>
            <w:r>
              <w:rPr>
                <w:sz w:val="24"/>
                <w:szCs w:val="24"/>
              </w:rPr>
              <w:t>Additional Supply Desperately Needed</w:t>
            </w:r>
          </w:p>
        </w:tc>
      </w:tr>
      <w:bookmarkEnd w:id="1"/>
    </w:tbl>
    <w:p w14:paraId="59E3EC39" w14:textId="29106778" w:rsidR="00E302C4" w:rsidRDefault="00E302C4" w:rsidP="00E913B2">
      <w:pPr>
        <w:spacing w:before="120" w:after="120"/>
        <w:ind w:right="-360"/>
        <w:rPr>
          <w:sz w:val="24"/>
          <w:szCs w:val="24"/>
        </w:rPr>
      </w:pPr>
    </w:p>
    <w:p w14:paraId="27F1EB13" w14:textId="2495B685" w:rsidR="00E913B2" w:rsidRDefault="00E913B2" w:rsidP="00F402BD">
      <w:pPr>
        <w:spacing w:before="120" w:after="120"/>
        <w:ind w:right="-360"/>
      </w:pPr>
    </w:p>
    <w:tbl>
      <w:tblPr>
        <w:tblpPr w:leftFromText="187" w:rightFromText="288" w:bottomFromText="115" w:vertAnchor="text" w:horzAnchor="margin" w:tblpXSpec="right" w:tblpY="23"/>
        <w:tblW w:w="4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52"/>
        <w:gridCol w:w="963"/>
        <w:gridCol w:w="930"/>
        <w:gridCol w:w="985"/>
      </w:tblGrid>
      <w:tr w:rsidR="00B170CC" w:rsidRPr="00627017" w14:paraId="79E06187" w14:textId="77777777" w:rsidTr="00620A04">
        <w:trPr>
          <w:trHeight w:val="360"/>
        </w:trPr>
        <w:tc>
          <w:tcPr>
            <w:tcW w:w="4330" w:type="dxa"/>
            <w:gridSpan w:val="4"/>
            <w:tcBorders>
              <w:top w:val="nil"/>
              <w:left w:val="nil"/>
              <w:bottom w:val="nil"/>
              <w:right w:val="nil"/>
            </w:tcBorders>
            <w:tcMar>
              <w:top w:w="0" w:type="dxa"/>
              <w:left w:w="108" w:type="dxa"/>
              <w:bottom w:w="0" w:type="dxa"/>
              <w:right w:w="108" w:type="dxa"/>
            </w:tcMar>
            <w:vAlign w:val="center"/>
            <w:hideMark/>
          </w:tcPr>
          <w:p w14:paraId="5C170324" w14:textId="4BB838A4" w:rsidR="00B170CC" w:rsidRPr="00627017" w:rsidRDefault="004D52E3" w:rsidP="00B65888">
            <w:pPr>
              <w:spacing w:line="252" w:lineRule="auto"/>
              <w:ind w:left="-105" w:right="-15"/>
              <w:rPr>
                <w:rFonts w:ascii="Arial" w:hAnsi="Arial" w:cs="Arial"/>
                <w:b/>
                <w:sz w:val="24"/>
                <w:szCs w:val="24"/>
              </w:rPr>
            </w:pPr>
            <w:r>
              <w:rPr>
                <w:rFonts w:ascii="Arial" w:hAnsi="Arial" w:cs="Arial"/>
                <w:b/>
                <w:sz w:val="22"/>
              </w:rPr>
              <w:t xml:space="preserve"> </w:t>
            </w:r>
            <w:r w:rsidR="009B1B42" w:rsidRPr="00D42F01">
              <w:rPr>
                <w:rFonts w:ascii="Arial" w:hAnsi="Arial" w:cs="Arial"/>
                <w:b/>
                <w:sz w:val="22"/>
              </w:rPr>
              <w:t>2</w:t>
            </w:r>
            <w:r w:rsidR="00133D00">
              <w:rPr>
                <w:rFonts w:ascii="Arial" w:hAnsi="Arial" w:cs="Arial"/>
                <w:b/>
                <w:sz w:val="22"/>
              </w:rPr>
              <w:t>025</w:t>
            </w:r>
            <w:r w:rsidR="00D42F01">
              <w:rPr>
                <w:rFonts w:ascii="Arial" w:hAnsi="Arial" w:cs="Arial"/>
                <w:b/>
                <w:sz w:val="22"/>
              </w:rPr>
              <w:t xml:space="preserve"> </w:t>
            </w:r>
            <w:r w:rsidR="00B170CC" w:rsidRPr="00D42F01">
              <w:rPr>
                <w:rFonts w:ascii="Arial" w:hAnsi="Arial" w:cs="Arial"/>
                <w:b/>
                <w:sz w:val="22"/>
              </w:rPr>
              <w:t>Sales</w:t>
            </w:r>
            <w:r w:rsidR="00D20441">
              <w:rPr>
                <w:rFonts w:ascii="Arial" w:hAnsi="Arial" w:cs="Arial"/>
                <w:b/>
                <w:sz w:val="24"/>
                <w:szCs w:val="24"/>
              </w:rPr>
              <w:t xml:space="preserve"> </w:t>
            </w:r>
            <w:r w:rsidR="00D20441" w:rsidRPr="005C3BB5">
              <w:rPr>
                <w:rFonts w:ascii="Arial" w:eastAsia="Calibri" w:hAnsi="Arial" w:cs="Arial"/>
                <w:bCs/>
                <w:sz w:val="18"/>
                <w:szCs w:val="18"/>
              </w:rPr>
              <w:t xml:space="preserve">(Jan 1 – </w:t>
            </w:r>
            <w:r w:rsidR="00133D00">
              <w:rPr>
                <w:rFonts w:ascii="Arial" w:eastAsia="Calibri" w:hAnsi="Arial" w:cs="Arial"/>
                <w:bCs/>
                <w:sz w:val="18"/>
                <w:szCs w:val="18"/>
              </w:rPr>
              <w:t>Dec</w:t>
            </w:r>
            <w:r w:rsidR="00D20441">
              <w:rPr>
                <w:rFonts w:ascii="Arial" w:eastAsia="Calibri" w:hAnsi="Arial" w:cs="Arial"/>
                <w:bCs/>
                <w:sz w:val="18"/>
                <w:szCs w:val="18"/>
              </w:rPr>
              <w:t xml:space="preserve"> </w:t>
            </w:r>
            <w:r w:rsidR="00D20441" w:rsidRPr="005C3BB5">
              <w:rPr>
                <w:rFonts w:ascii="Arial" w:eastAsia="Calibri" w:hAnsi="Arial" w:cs="Arial"/>
                <w:bCs/>
                <w:sz w:val="18"/>
                <w:szCs w:val="18"/>
              </w:rPr>
              <w:t>3</w:t>
            </w:r>
            <w:r w:rsidR="00133D00">
              <w:rPr>
                <w:rFonts w:ascii="Arial" w:eastAsia="Calibri" w:hAnsi="Arial" w:cs="Arial"/>
                <w:bCs/>
                <w:sz w:val="18"/>
                <w:szCs w:val="18"/>
              </w:rPr>
              <w:t>1</w:t>
            </w:r>
            <w:r w:rsidR="00D20441" w:rsidRPr="005C3BB5">
              <w:rPr>
                <w:rFonts w:ascii="Arial" w:eastAsia="Calibri" w:hAnsi="Arial" w:cs="Arial"/>
                <w:bCs/>
                <w:sz w:val="18"/>
                <w:szCs w:val="18"/>
              </w:rPr>
              <w:t>)</w:t>
            </w:r>
          </w:p>
        </w:tc>
      </w:tr>
      <w:tr w:rsidR="00B170CC" w:rsidRPr="00627017" w14:paraId="5B14E643" w14:textId="77777777" w:rsidTr="00DB59A4">
        <w:trPr>
          <w:trHeight w:val="288"/>
        </w:trPr>
        <w:tc>
          <w:tcPr>
            <w:tcW w:w="1452" w:type="dxa"/>
            <w:tcBorders>
              <w:top w:val="nil"/>
              <w:left w:val="nil"/>
              <w:bottom w:val="nil"/>
              <w:right w:val="single" w:sz="12" w:space="0" w:color="FFFFFF"/>
            </w:tcBorders>
            <w:shd w:val="clear" w:color="auto" w:fill="1F4E79"/>
            <w:vAlign w:val="center"/>
            <w:hideMark/>
          </w:tcPr>
          <w:p w14:paraId="300A7600" w14:textId="77777777" w:rsidR="00B170CC" w:rsidRPr="00627017" w:rsidRDefault="00B170CC" w:rsidP="00627017">
            <w:pPr>
              <w:ind w:left="175" w:right="100"/>
              <w:rPr>
                <w:rFonts w:ascii="Arial" w:hAnsi="Arial" w:cs="Arial"/>
                <w:bCs/>
                <w:color w:val="FFFFFF" w:themeColor="background1"/>
                <w:sz w:val="20"/>
                <w:szCs w:val="20"/>
              </w:rPr>
            </w:pPr>
            <w:r w:rsidRPr="00627017">
              <w:rPr>
                <w:rFonts w:ascii="Arial" w:hAnsi="Arial" w:cs="Arial"/>
                <w:bCs/>
                <w:color w:val="FFFFFF" w:themeColor="background1"/>
                <w:sz w:val="20"/>
                <w:szCs w:val="20"/>
              </w:rPr>
              <w:t>County</w:t>
            </w:r>
          </w:p>
        </w:tc>
        <w:tc>
          <w:tcPr>
            <w:tcW w:w="963" w:type="dxa"/>
            <w:tcBorders>
              <w:top w:val="nil"/>
              <w:left w:val="single" w:sz="12" w:space="0" w:color="FFFFFF"/>
              <w:bottom w:val="nil"/>
              <w:right w:val="single" w:sz="12" w:space="0" w:color="FFFFFF"/>
            </w:tcBorders>
            <w:shd w:val="clear" w:color="auto" w:fill="1F4E79"/>
            <w:tcMar>
              <w:top w:w="0" w:type="dxa"/>
              <w:left w:w="108" w:type="dxa"/>
              <w:bottom w:w="0" w:type="dxa"/>
              <w:right w:w="108" w:type="dxa"/>
            </w:tcMar>
            <w:vAlign w:val="center"/>
            <w:hideMark/>
          </w:tcPr>
          <w:p w14:paraId="1C5D9E84" w14:textId="46A6A368" w:rsidR="00B170CC" w:rsidRPr="00627017" w:rsidRDefault="00B170CC" w:rsidP="0001575D">
            <w:pPr>
              <w:spacing w:line="207" w:lineRule="atLeast"/>
              <w:ind w:left="44" w:right="62"/>
              <w:jc w:val="center"/>
              <w:rPr>
                <w:rFonts w:ascii="Arial" w:hAnsi="Arial" w:cs="Arial"/>
                <w:color w:val="FFFFFF" w:themeColor="background1"/>
                <w:sz w:val="20"/>
                <w:szCs w:val="20"/>
              </w:rPr>
            </w:pPr>
            <w:r w:rsidRPr="00627017">
              <w:rPr>
                <w:rFonts w:ascii="Arial" w:hAnsi="Arial" w:cs="Arial"/>
                <w:color w:val="FFFFFF" w:themeColor="background1"/>
                <w:sz w:val="20"/>
                <w:szCs w:val="20"/>
              </w:rPr>
              <w:t>202</w:t>
            </w:r>
            <w:r w:rsidR="009F28D2">
              <w:rPr>
                <w:rFonts w:ascii="Arial" w:hAnsi="Arial" w:cs="Arial"/>
                <w:color w:val="FFFFFF" w:themeColor="background1"/>
                <w:sz w:val="20"/>
                <w:szCs w:val="20"/>
              </w:rPr>
              <w:t>4</w:t>
            </w:r>
          </w:p>
        </w:tc>
        <w:tc>
          <w:tcPr>
            <w:tcW w:w="930" w:type="dxa"/>
            <w:tcBorders>
              <w:top w:val="nil"/>
              <w:left w:val="single" w:sz="12" w:space="0" w:color="FFFFFF"/>
              <w:bottom w:val="nil"/>
              <w:right w:val="single" w:sz="12" w:space="0" w:color="FFFFFF"/>
            </w:tcBorders>
            <w:shd w:val="clear" w:color="auto" w:fill="1F4E79"/>
            <w:tcMar>
              <w:top w:w="0" w:type="dxa"/>
              <w:left w:w="108" w:type="dxa"/>
              <w:bottom w:w="0" w:type="dxa"/>
              <w:right w:w="108" w:type="dxa"/>
            </w:tcMar>
            <w:vAlign w:val="center"/>
            <w:hideMark/>
          </w:tcPr>
          <w:p w14:paraId="4E96F07D" w14:textId="4A0E88B3" w:rsidR="00B170CC" w:rsidRPr="00627017" w:rsidRDefault="00B170CC" w:rsidP="0001575D">
            <w:pPr>
              <w:spacing w:line="207" w:lineRule="atLeast"/>
              <w:ind w:right="-23"/>
              <w:jc w:val="center"/>
              <w:rPr>
                <w:rFonts w:ascii="Arial" w:hAnsi="Arial" w:cs="Arial"/>
                <w:color w:val="FFFFFF" w:themeColor="background1"/>
                <w:sz w:val="20"/>
                <w:szCs w:val="20"/>
              </w:rPr>
            </w:pPr>
            <w:r w:rsidRPr="00627017">
              <w:rPr>
                <w:rFonts w:ascii="Arial" w:hAnsi="Arial" w:cs="Arial"/>
                <w:color w:val="FFFFFF" w:themeColor="background1"/>
                <w:sz w:val="20"/>
                <w:szCs w:val="20"/>
              </w:rPr>
              <w:t>202</w:t>
            </w:r>
            <w:r w:rsidR="009F28D2">
              <w:rPr>
                <w:rFonts w:ascii="Arial" w:hAnsi="Arial" w:cs="Arial"/>
                <w:color w:val="FFFFFF" w:themeColor="background1"/>
                <w:sz w:val="20"/>
                <w:szCs w:val="20"/>
              </w:rPr>
              <w:t>5</w:t>
            </w:r>
          </w:p>
        </w:tc>
        <w:tc>
          <w:tcPr>
            <w:tcW w:w="985" w:type="dxa"/>
            <w:tcBorders>
              <w:top w:val="nil"/>
              <w:left w:val="single" w:sz="12" w:space="0" w:color="FFFFFF"/>
              <w:bottom w:val="nil"/>
              <w:right w:val="nil"/>
            </w:tcBorders>
            <w:shd w:val="clear" w:color="auto" w:fill="1F4E79"/>
            <w:vAlign w:val="center"/>
          </w:tcPr>
          <w:p w14:paraId="0F94D0A4" w14:textId="77777777" w:rsidR="00B170CC" w:rsidRPr="00DB59A4" w:rsidRDefault="00B170CC" w:rsidP="00DB59A4">
            <w:pPr>
              <w:ind w:right="15"/>
              <w:jc w:val="center"/>
              <w:rPr>
                <w:rFonts w:ascii="Arial Narrow" w:hAnsi="Arial Narrow" w:cs="Arial"/>
                <w:color w:val="FFFFFF" w:themeColor="background1"/>
                <w:sz w:val="20"/>
                <w:szCs w:val="20"/>
              </w:rPr>
            </w:pPr>
            <w:r w:rsidRPr="00DB59A4">
              <w:rPr>
                <w:rFonts w:ascii="Arial Narrow" w:hAnsi="Arial Narrow" w:cs="Arial"/>
                <w:color w:val="FFFFFF" w:themeColor="background1"/>
                <w:sz w:val="20"/>
                <w:szCs w:val="20"/>
              </w:rPr>
              <w:t>% Change</w:t>
            </w:r>
          </w:p>
        </w:tc>
      </w:tr>
      <w:tr w:rsidR="00620A04" w:rsidRPr="00627017" w14:paraId="20306320" w14:textId="77777777" w:rsidTr="00620A04">
        <w:trPr>
          <w:trHeight w:val="288"/>
        </w:trPr>
        <w:tc>
          <w:tcPr>
            <w:tcW w:w="1452" w:type="dxa"/>
            <w:tcBorders>
              <w:top w:val="nil"/>
              <w:left w:val="nil"/>
              <w:bottom w:val="nil"/>
              <w:right w:val="nil"/>
            </w:tcBorders>
            <w:tcMar>
              <w:top w:w="0" w:type="dxa"/>
              <w:left w:w="108" w:type="dxa"/>
              <w:bottom w:w="0" w:type="dxa"/>
              <w:right w:w="108" w:type="dxa"/>
            </w:tcMar>
            <w:vAlign w:val="center"/>
            <w:hideMark/>
          </w:tcPr>
          <w:p w14:paraId="4BD28B81" w14:textId="77777777" w:rsidR="00620A04" w:rsidRPr="00627017" w:rsidRDefault="00620A04" w:rsidP="00620A04">
            <w:pPr>
              <w:spacing w:line="252" w:lineRule="auto"/>
              <w:ind w:left="62" w:right="100"/>
              <w:rPr>
                <w:rFonts w:ascii="Arial" w:hAnsi="Arial" w:cs="Arial"/>
                <w:sz w:val="20"/>
                <w:szCs w:val="20"/>
              </w:rPr>
            </w:pPr>
            <w:r w:rsidRPr="00627017">
              <w:rPr>
                <w:rFonts w:ascii="Arial" w:hAnsi="Arial" w:cs="Arial"/>
                <w:sz w:val="20"/>
                <w:szCs w:val="20"/>
              </w:rPr>
              <w:t>Milwaukee</w:t>
            </w:r>
          </w:p>
        </w:tc>
        <w:tc>
          <w:tcPr>
            <w:tcW w:w="963" w:type="dxa"/>
            <w:tcBorders>
              <w:top w:val="nil"/>
              <w:left w:val="nil"/>
              <w:bottom w:val="nil"/>
              <w:right w:val="nil"/>
            </w:tcBorders>
            <w:tcMar>
              <w:top w:w="0" w:type="dxa"/>
              <w:left w:w="108" w:type="dxa"/>
              <w:bottom w:w="0" w:type="dxa"/>
              <w:right w:w="108" w:type="dxa"/>
            </w:tcMar>
            <w:vAlign w:val="center"/>
          </w:tcPr>
          <w:p w14:paraId="673EB4AB" w14:textId="09FA58B0" w:rsidR="00620A04" w:rsidRPr="00620A04" w:rsidRDefault="00620A04" w:rsidP="00620A04">
            <w:pPr>
              <w:spacing w:line="252" w:lineRule="auto"/>
              <w:ind w:left="44" w:right="62"/>
              <w:jc w:val="right"/>
              <w:rPr>
                <w:rFonts w:ascii="Arial" w:hAnsi="Arial" w:cs="Arial"/>
                <w:sz w:val="20"/>
                <w:szCs w:val="20"/>
              </w:rPr>
            </w:pPr>
            <w:r w:rsidRPr="00620A04">
              <w:rPr>
                <w:rFonts w:ascii="Arial" w:hAnsi="Arial" w:cs="Arial"/>
                <w:sz w:val="20"/>
                <w:szCs w:val="20"/>
              </w:rPr>
              <w:t xml:space="preserve"> 9,673 </w:t>
            </w:r>
          </w:p>
        </w:tc>
        <w:tc>
          <w:tcPr>
            <w:tcW w:w="930" w:type="dxa"/>
            <w:tcBorders>
              <w:top w:val="nil"/>
              <w:left w:val="nil"/>
              <w:bottom w:val="nil"/>
              <w:right w:val="nil"/>
            </w:tcBorders>
            <w:tcMar>
              <w:top w:w="0" w:type="dxa"/>
              <w:left w:w="108" w:type="dxa"/>
              <w:bottom w:w="0" w:type="dxa"/>
              <w:right w:w="108" w:type="dxa"/>
            </w:tcMar>
            <w:vAlign w:val="center"/>
          </w:tcPr>
          <w:p w14:paraId="6BA5F808" w14:textId="17346156" w:rsidR="00620A04" w:rsidRPr="00620A04" w:rsidRDefault="00620A04" w:rsidP="00620A04">
            <w:pPr>
              <w:spacing w:line="252" w:lineRule="auto"/>
              <w:ind w:right="58"/>
              <w:jc w:val="right"/>
              <w:rPr>
                <w:rFonts w:ascii="Arial" w:hAnsi="Arial" w:cs="Arial"/>
                <w:sz w:val="20"/>
                <w:szCs w:val="20"/>
              </w:rPr>
            </w:pPr>
            <w:r w:rsidRPr="00620A04">
              <w:rPr>
                <w:rFonts w:ascii="Arial" w:hAnsi="Arial" w:cs="Arial"/>
                <w:sz w:val="20"/>
                <w:szCs w:val="20"/>
              </w:rPr>
              <w:t xml:space="preserve"> 9,509 </w:t>
            </w:r>
          </w:p>
        </w:tc>
        <w:tc>
          <w:tcPr>
            <w:tcW w:w="985" w:type="dxa"/>
            <w:tcBorders>
              <w:top w:val="nil"/>
              <w:left w:val="nil"/>
              <w:bottom w:val="nil"/>
              <w:right w:val="nil"/>
            </w:tcBorders>
            <w:vAlign w:val="center"/>
          </w:tcPr>
          <w:p w14:paraId="59294B08" w14:textId="036680A8" w:rsidR="00620A04" w:rsidRPr="00620A04" w:rsidRDefault="00620A04" w:rsidP="00620A04">
            <w:pPr>
              <w:spacing w:line="252" w:lineRule="auto"/>
              <w:ind w:right="195"/>
              <w:jc w:val="right"/>
              <w:rPr>
                <w:rFonts w:ascii="Arial" w:hAnsi="Arial" w:cs="Arial"/>
                <w:sz w:val="20"/>
                <w:szCs w:val="20"/>
              </w:rPr>
            </w:pPr>
            <w:r w:rsidRPr="00620A04">
              <w:rPr>
                <w:rFonts w:ascii="Arial" w:hAnsi="Arial" w:cs="Arial"/>
                <w:sz w:val="20"/>
                <w:szCs w:val="20"/>
              </w:rPr>
              <w:t>-1.7%</w:t>
            </w:r>
          </w:p>
        </w:tc>
      </w:tr>
      <w:tr w:rsidR="00620A04" w:rsidRPr="00627017" w14:paraId="476C4D87" w14:textId="77777777" w:rsidTr="008F7E2F">
        <w:trPr>
          <w:trHeight w:val="288"/>
        </w:trPr>
        <w:tc>
          <w:tcPr>
            <w:tcW w:w="1452" w:type="dxa"/>
            <w:tcBorders>
              <w:top w:val="nil"/>
              <w:left w:val="nil"/>
              <w:bottom w:val="nil"/>
              <w:right w:val="nil"/>
            </w:tcBorders>
            <w:shd w:val="clear" w:color="auto" w:fill="D5DCE4" w:themeFill="text2" w:themeFillTint="33"/>
            <w:tcMar>
              <w:top w:w="0" w:type="dxa"/>
              <w:left w:w="108" w:type="dxa"/>
              <w:bottom w:w="0" w:type="dxa"/>
              <w:right w:w="108" w:type="dxa"/>
            </w:tcMar>
            <w:vAlign w:val="center"/>
            <w:hideMark/>
          </w:tcPr>
          <w:p w14:paraId="7B5787B5" w14:textId="77777777" w:rsidR="00620A04" w:rsidRPr="00627017" w:rsidRDefault="00620A04" w:rsidP="00620A04">
            <w:pPr>
              <w:spacing w:line="252" w:lineRule="auto"/>
              <w:ind w:left="62" w:right="100"/>
              <w:rPr>
                <w:rFonts w:ascii="Arial" w:hAnsi="Arial" w:cs="Arial"/>
                <w:sz w:val="20"/>
                <w:szCs w:val="20"/>
              </w:rPr>
            </w:pPr>
            <w:r w:rsidRPr="00627017">
              <w:rPr>
                <w:rFonts w:ascii="Arial" w:hAnsi="Arial" w:cs="Arial"/>
                <w:sz w:val="20"/>
                <w:szCs w:val="20"/>
              </w:rPr>
              <w:t>Waukesha</w:t>
            </w:r>
          </w:p>
        </w:tc>
        <w:tc>
          <w:tcPr>
            <w:tcW w:w="963" w:type="dxa"/>
            <w:tcBorders>
              <w:top w:val="nil"/>
              <w:left w:val="nil"/>
              <w:bottom w:val="nil"/>
              <w:right w:val="nil"/>
            </w:tcBorders>
            <w:shd w:val="clear" w:color="auto" w:fill="D5DCE4" w:themeFill="text2" w:themeFillTint="33"/>
            <w:tcMar>
              <w:top w:w="0" w:type="dxa"/>
              <w:left w:w="108" w:type="dxa"/>
              <w:bottom w:w="0" w:type="dxa"/>
              <w:right w:w="108" w:type="dxa"/>
            </w:tcMar>
            <w:vAlign w:val="center"/>
          </w:tcPr>
          <w:p w14:paraId="67FE16B9" w14:textId="6EE96F39" w:rsidR="00620A04" w:rsidRPr="00620A04" w:rsidRDefault="00620A04" w:rsidP="00620A04">
            <w:pPr>
              <w:spacing w:line="252" w:lineRule="auto"/>
              <w:ind w:left="44" w:right="62"/>
              <w:jc w:val="right"/>
              <w:rPr>
                <w:rFonts w:ascii="Arial" w:hAnsi="Arial" w:cs="Arial"/>
                <w:sz w:val="20"/>
                <w:szCs w:val="20"/>
              </w:rPr>
            </w:pPr>
            <w:r w:rsidRPr="00620A04">
              <w:rPr>
                <w:rFonts w:ascii="Arial" w:hAnsi="Arial" w:cs="Arial"/>
                <w:sz w:val="20"/>
                <w:szCs w:val="20"/>
              </w:rPr>
              <w:t xml:space="preserve"> 4,680 </w:t>
            </w:r>
          </w:p>
        </w:tc>
        <w:tc>
          <w:tcPr>
            <w:tcW w:w="930" w:type="dxa"/>
            <w:tcBorders>
              <w:top w:val="nil"/>
              <w:left w:val="nil"/>
              <w:bottom w:val="nil"/>
              <w:right w:val="nil"/>
            </w:tcBorders>
            <w:shd w:val="clear" w:color="auto" w:fill="D5DCE4" w:themeFill="text2" w:themeFillTint="33"/>
            <w:tcMar>
              <w:top w:w="0" w:type="dxa"/>
              <w:left w:w="108" w:type="dxa"/>
              <w:bottom w:w="0" w:type="dxa"/>
              <w:right w:w="108" w:type="dxa"/>
            </w:tcMar>
            <w:vAlign w:val="center"/>
          </w:tcPr>
          <w:p w14:paraId="19BAADAC" w14:textId="61470A90" w:rsidR="00620A04" w:rsidRPr="00620A04" w:rsidRDefault="00620A04" w:rsidP="00620A04">
            <w:pPr>
              <w:spacing w:line="252" w:lineRule="auto"/>
              <w:ind w:right="58"/>
              <w:jc w:val="right"/>
              <w:rPr>
                <w:rFonts w:ascii="Arial" w:hAnsi="Arial" w:cs="Arial"/>
                <w:sz w:val="20"/>
                <w:szCs w:val="20"/>
              </w:rPr>
            </w:pPr>
            <w:r w:rsidRPr="00620A04">
              <w:rPr>
                <w:rFonts w:ascii="Arial" w:hAnsi="Arial" w:cs="Arial"/>
                <w:sz w:val="20"/>
                <w:szCs w:val="20"/>
              </w:rPr>
              <w:t xml:space="preserve"> 4,897 </w:t>
            </w:r>
          </w:p>
        </w:tc>
        <w:tc>
          <w:tcPr>
            <w:tcW w:w="985" w:type="dxa"/>
            <w:tcBorders>
              <w:top w:val="nil"/>
              <w:left w:val="nil"/>
              <w:bottom w:val="nil"/>
              <w:right w:val="nil"/>
            </w:tcBorders>
            <w:shd w:val="clear" w:color="auto" w:fill="D5DCE4" w:themeFill="text2" w:themeFillTint="33"/>
            <w:vAlign w:val="center"/>
          </w:tcPr>
          <w:p w14:paraId="29A559A1" w14:textId="5EC07AEE" w:rsidR="00620A04" w:rsidRPr="00620A04" w:rsidRDefault="00620A04" w:rsidP="00620A04">
            <w:pPr>
              <w:spacing w:line="252" w:lineRule="auto"/>
              <w:ind w:right="195"/>
              <w:jc w:val="right"/>
              <w:rPr>
                <w:rFonts w:ascii="Arial" w:hAnsi="Arial" w:cs="Arial"/>
                <w:sz w:val="20"/>
                <w:szCs w:val="20"/>
              </w:rPr>
            </w:pPr>
            <w:r w:rsidRPr="00620A04">
              <w:rPr>
                <w:rFonts w:ascii="Arial" w:hAnsi="Arial" w:cs="Arial"/>
                <w:sz w:val="20"/>
                <w:szCs w:val="20"/>
              </w:rPr>
              <w:t>4.6%</w:t>
            </w:r>
          </w:p>
        </w:tc>
      </w:tr>
      <w:tr w:rsidR="00620A04" w:rsidRPr="00627017" w14:paraId="7C64D003" w14:textId="77777777" w:rsidTr="00620A04">
        <w:trPr>
          <w:trHeight w:val="288"/>
        </w:trPr>
        <w:tc>
          <w:tcPr>
            <w:tcW w:w="1452" w:type="dxa"/>
            <w:tcBorders>
              <w:top w:val="nil"/>
              <w:left w:val="nil"/>
              <w:bottom w:val="nil"/>
              <w:right w:val="nil"/>
            </w:tcBorders>
            <w:tcMar>
              <w:top w:w="0" w:type="dxa"/>
              <w:left w:w="108" w:type="dxa"/>
              <w:bottom w:w="0" w:type="dxa"/>
              <w:right w:w="108" w:type="dxa"/>
            </w:tcMar>
            <w:vAlign w:val="center"/>
            <w:hideMark/>
          </w:tcPr>
          <w:p w14:paraId="20E71E4B" w14:textId="59B4DC24" w:rsidR="00620A04" w:rsidRPr="00627017" w:rsidRDefault="00620A04" w:rsidP="00620A04">
            <w:pPr>
              <w:spacing w:line="252" w:lineRule="auto"/>
              <w:ind w:left="62" w:right="100"/>
              <w:rPr>
                <w:rFonts w:ascii="Arial" w:hAnsi="Arial" w:cs="Arial"/>
                <w:sz w:val="20"/>
                <w:szCs w:val="20"/>
              </w:rPr>
            </w:pPr>
            <w:r>
              <w:rPr>
                <w:rFonts w:ascii="Arial" w:hAnsi="Arial" w:cs="Arial"/>
                <w:sz w:val="20"/>
                <w:szCs w:val="20"/>
              </w:rPr>
              <w:t>Ozaukee</w:t>
            </w:r>
          </w:p>
        </w:tc>
        <w:tc>
          <w:tcPr>
            <w:tcW w:w="963" w:type="dxa"/>
            <w:tcBorders>
              <w:top w:val="nil"/>
              <w:left w:val="nil"/>
              <w:bottom w:val="nil"/>
              <w:right w:val="nil"/>
            </w:tcBorders>
            <w:tcMar>
              <w:top w:w="0" w:type="dxa"/>
              <w:left w:w="108" w:type="dxa"/>
              <w:bottom w:w="0" w:type="dxa"/>
              <w:right w:w="108" w:type="dxa"/>
            </w:tcMar>
            <w:vAlign w:val="center"/>
          </w:tcPr>
          <w:p w14:paraId="5D81EC73" w14:textId="3653C4B2" w:rsidR="00620A04" w:rsidRPr="00620A04" w:rsidRDefault="00620A04" w:rsidP="00620A04">
            <w:pPr>
              <w:spacing w:line="252" w:lineRule="auto"/>
              <w:ind w:left="44" w:right="62"/>
              <w:jc w:val="right"/>
              <w:rPr>
                <w:rFonts w:ascii="Arial" w:hAnsi="Arial" w:cs="Arial"/>
                <w:sz w:val="20"/>
                <w:szCs w:val="20"/>
              </w:rPr>
            </w:pPr>
            <w:r w:rsidRPr="00620A04">
              <w:rPr>
                <w:rFonts w:ascii="Arial" w:hAnsi="Arial" w:cs="Arial"/>
                <w:sz w:val="20"/>
                <w:szCs w:val="20"/>
              </w:rPr>
              <w:t xml:space="preserve"> 1,124 </w:t>
            </w:r>
          </w:p>
        </w:tc>
        <w:tc>
          <w:tcPr>
            <w:tcW w:w="930" w:type="dxa"/>
            <w:tcBorders>
              <w:top w:val="nil"/>
              <w:left w:val="nil"/>
              <w:bottom w:val="nil"/>
              <w:right w:val="nil"/>
            </w:tcBorders>
            <w:tcMar>
              <w:top w:w="0" w:type="dxa"/>
              <w:left w:w="108" w:type="dxa"/>
              <w:bottom w:w="0" w:type="dxa"/>
              <w:right w:w="108" w:type="dxa"/>
            </w:tcMar>
            <w:vAlign w:val="center"/>
          </w:tcPr>
          <w:p w14:paraId="5C58E35F" w14:textId="0F7753F5" w:rsidR="00620A04" w:rsidRPr="00620A04" w:rsidRDefault="00620A04" w:rsidP="00620A04">
            <w:pPr>
              <w:spacing w:line="252" w:lineRule="auto"/>
              <w:ind w:right="58"/>
              <w:jc w:val="right"/>
              <w:rPr>
                <w:rFonts w:ascii="Arial" w:hAnsi="Arial" w:cs="Arial"/>
                <w:sz w:val="20"/>
                <w:szCs w:val="20"/>
              </w:rPr>
            </w:pPr>
            <w:r w:rsidRPr="00620A04">
              <w:rPr>
                <w:rFonts w:ascii="Arial" w:hAnsi="Arial" w:cs="Arial"/>
                <w:sz w:val="20"/>
                <w:szCs w:val="20"/>
              </w:rPr>
              <w:t xml:space="preserve"> 1,114 </w:t>
            </w:r>
          </w:p>
        </w:tc>
        <w:tc>
          <w:tcPr>
            <w:tcW w:w="985" w:type="dxa"/>
            <w:tcBorders>
              <w:top w:val="nil"/>
              <w:left w:val="nil"/>
              <w:bottom w:val="nil"/>
              <w:right w:val="nil"/>
            </w:tcBorders>
            <w:vAlign w:val="center"/>
          </w:tcPr>
          <w:p w14:paraId="5917AD6B" w14:textId="7A673D21" w:rsidR="00620A04" w:rsidRPr="00620A04" w:rsidRDefault="00620A04" w:rsidP="00620A04">
            <w:pPr>
              <w:spacing w:line="252" w:lineRule="auto"/>
              <w:ind w:right="195"/>
              <w:jc w:val="right"/>
              <w:rPr>
                <w:rFonts w:ascii="Arial" w:hAnsi="Arial" w:cs="Arial"/>
                <w:sz w:val="20"/>
                <w:szCs w:val="20"/>
              </w:rPr>
            </w:pPr>
            <w:r w:rsidRPr="00620A04">
              <w:rPr>
                <w:rFonts w:ascii="Arial" w:hAnsi="Arial" w:cs="Arial"/>
                <w:sz w:val="20"/>
                <w:szCs w:val="20"/>
              </w:rPr>
              <w:t>-0.9%</w:t>
            </w:r>
          </w:p>
        </w:tc>
      </w:tr>
      <w:tr w:rsidR="00620A04" w:rsidRPr="00627017" w14:paraId="73B88858" w14:textId="77777777" w:rsidTr="008F7E2F">
        <w:trPr>
          <w:trHeight w:val="288"/>
        </w:trPr>
        <w:tc>
          <w:tcPr>
            <w:tcW w:w="1452" w:type="dxa"/>
            <w:tcBorders>
              <w:top w:val="nil"/>
              <w:left w:val="nil"/>
              <w:bottom w:val="single" w:sz="4" w:space="0" w:color="auto"/>
              <w:right w:val="nil"/>
            </w:tcBorders>
            <w:shd w:val="clear" w:color="auto" w:fill="D5DCE4" w:themeFill="text2" w:themeFillTint="33"/>
            <w:tcMar>
              <w:top w:w="0" w:type="dxa"/>
              <w:left w:w="108" w:type="dxa"/>
              <w:bottom w:w="0" w:type="dxa"/>
              <w:right w:w="108" w:type="dxa"/>
            </w:tcMar>
            <w:vAlign w:val="center"/>
            <w:hideMark/>
          </w:tcPr>
          <w:p w14:paraId="428D03BE" w14:textId="64F564C2" w:rsidR="00620A04" w:rsidRPr="00627017" w:rsidRDefault="00620A04" w:rsidP="00620A04">
            <w:pPr>
              <w:spacing w:line="252" w:lineRule="auto"/>
              <w:ind w:left="62" w:right="100"/>
              <w:rPr>
                <w:rFonts w:ascii="Arial" w:hAnsi="Arial" w:cs="Arial"/>
                <w:sz w:val="20"/>
                <w:szCs w:val="20"/>
              </w:rPr>
            </w:pPr>
            <w:r>
              <w:rPr>
                <w:rFonts w:ascii="Arial" w:hAnsi="Arial" w:cs="Arial"/>
                <w:sz w:val="20"/>
                <w:szCs w:val="20"/>
              </w:rPr>
              <w:t>Washington</w:t>
            </w:r>
          </w:p>
        </w:tc>
        <w:tc>
          <w:tcPr>
            <w:tcW w:w="963" w:type="dxa"/>
            <w:tcBorders>
              <w:top w:val="nil"/>
              <w:left w:val="nil"/>
              <w:bottom w:val="single" w:sz="4" w:space="0" w:color="auto"/>
              <w:right w:val="nil"/>
            </w:tcBorders>
            <w:shd w:val="clear" w:color="auto" w:fill="D5DCE4" w:themeFill="text2" w:themeFillTint="33"/>
            <w:tcMar>
              <w:top w:w="0" w:type="dxa"/>
              <w:left w:w="108" w:type="dxa"/>
              <w:bottom w:w="0" w:type="dxa"/>
              <w:right w:w="108" w:type="dxa"/>
            </w:tcMar>
            <w:vAlign w:val="center"/>
          </w:tcPr>
          <w:p w14:paraId="36D56538" w14:textId="7126F256" w:rsidR="00620A04" w:rsidRPr="00620A04" w:rsidRDefault="00620A04" w:rsidP="00620A04">
            <w:pPr>
              <w:spacing w:line="252" w:lineRule="auto"/>
              <w:ind w:left="44" w:right="62"/>
              <w:jc w:val="right"/>
              <w:rPr>
                <w:rFonts w:ascii="Arial" w:hAnsi="Arial" w:cs="Arial"/>
                <w:sz w:val="20"/>
                <w:szCs w:val="20"/>
              </w:rPr>
            </w:pPr>
            <w:r w:rsidRPr="00620A04">
              <w:rPr>
                <w:rFonts w:ascii="Arial" w:hAnsi="Arial" w:cs="Arial"/>
                <w:sz w:val="20"/>
                <w:szCs w:val="20"/>
              </w:rPr>
              <w:t xml:space="preserve"> 1,581 </w:t>
            </w:r>
          </w:p>
        </w:tc>
        <w:tc>
          <w:tcPr>
            <w:tcW w:w="930" w:type="dxa"/>
            <w:tcBorders>
              <w:top w:val="nil"/>
              <w:left w:val="nil"/>
              <w:bottom w:val="single" w:sz="4" w:space="0" w:color="auto"/>
              <w:right w:val="nil"/>
            </w:tcBorders>
            <w:shd w:val="clear" w:color="auto" w:fill="D5DCE4" w:themeFill="text2" w:themeFillTint="33"/>
            <w:tcMar>
              <w:top w:w="0" w:type="dxa"/>
              <w:left w:w="108" w:type="dxa"/>
              <w:bottom w:w="0" w:type="dxa"/>
              <w:right w:w="108" w:type="dxa"/>
            </w:tcMar>
            <w:vAlign w:val="center"/>
          </w:tcPr>
          <w:p w14:paraId="3398DCFA" w14:textId="71897F54" w:rsidR="00620A04" w:rsidRPr="00620A04" w:rsidRDefault="00620A04" w:rsidP="00620A04">
            <w:pPr>
              <w:spacing w:line="252" w:lineRule="auto"/>
              <w:ind w:right="58"/>
              <w:jc w:val="right"/>
              <w:rPr>
                <w:rFonts w:ascii="Arial" w:hAnsi="Arial" w:cs="Arial"/>
                <w:sz w:val="20"/>
                <w:szCs w:val="20"/>
              </w:rPr>
            </w:pPr>
            <w:r w:rsidRPr="00620A04">
              <w:rPr>
                <w:rFonts w:ascii="Arial" w:hAnsi="Arial" w:cs="Arial"/>
                <w:sz w:val="20"/>
                <w:szCs w:val="20"/>
              </w:rPr>
              <w:t xml:space="preserve"> 1,711 </w:t>
            </w:r>
          </w:p>
        </w:tc>
        <w:tc>
          <w:tcPr>
            <w:tcW w:w="985" w:type="dxa"/>
            <w:tcBorders>
              <w:top w:val="nil"/>
              <w:left w:val="nil"/>
              <w:bottom w:val="nil"/>
              <w:right w:val="nil"/>
            </w:tcBorders>
            <w:shd w:val="clear" w:color="auto" w:fill="D5DCE4" w:themeFill="text2" w:themeFillTint="33"/>
            <w:vAlign w:val="center"/>
          </w:tcPr>
          <w:p w14:paraId="0A622F2D" w14:textId="262533FA" w:rsidR="00620A04" w:rsidRPr="00620A04" w:rsidRDefault="00620A04" w:rsidP="00620A04">
            <w:pPr>
              <w:spacing w:line="252" w:lineRule="auto"/>
              <w:ind w:right="195"/>
              <w:jc w:val="right"/>
              <w:rPr>
                <w:rFonts w:ascii="Arial" w:hAnsi="Arial" w:cs="Arial"/>
                <w:sz w:val="20"/>
                <w:szCs w:val="20"/>
              </w:rPr>
            </w:pPr>
            <w:r w:rsidRPr="00620A04">
              <w:rPr>
                <w:rFonts w:ascii="Arial" w:hAnsi="Arial" w:cs="Arial"/>
                <w:sz w:val="20"/>
                <w:szCs w:val="20"/>
              </w:rPr>
              <w:t>8.2%</w:t>
            </w:r>
          </w:p>
        </w:tc>
      </w:tr>
      <w:tr w:rsidR="00620A04" w:rsidRPr="00627017" w14:paraId="29367927" w14:textId="77777777" w:rsidTr="00620A04">
        <w:trPr>
          <w:trHeight w:val="288"/>
        </w:trPr>
        <w:tc>
          <w:tcPr>
            <w:tcW w:w="1452" w:type="dxa"/>
            <w:tcBorders>
              <w:top w:val="single" w:sz="4" w:space="0" w:color="auto"/>
              <w:left w:val="nil"/>
              <w:bottom w:val="nil"/>
              <w:right w:val="nil"/>
            </w:tcBorders>
            <w:tcMar>
              <w:top w:w="0" w:type="dxa"/>
              <w:left w:w="108" w:type="dxa"/>
              <w:bottom w:w="0" w:type="dxa"/>
              <w:right w:w="108" w:type="dxa"/>
            </w:tcMar>
            <w:vAlign w:val="center"/>
            <w:hideMark/>
          </w:tcPr>
          <w:p w14:paraId="09537E40" w14:textId="77777777" w:rsidR="00620A04" w:rsidRPr="00627017" w:rsidRDefault="00620A04" w:rsidP="00620A04">
            <w:pPr>
              <w:spacing w:line="252" w:lineRule="auto"/>
              <w:ind w:left="62" w:right="100"/>
              <w:rPr>
                <w:rFonts w:ascii="Arial" w:hAnsi="Arial" w:cs="Arial"/>
                <w:sz w:val="20"/>
                <w:szCs w:val="20"/>
              </w:rPr>
            </w:pPr>
            <w:r w:rsidRPr="00627017">
              <w:rPr>
                <w:rFonts w:ascii="Arial" w:hAnsi="Arial" w:cs="Arial"/>
                <w:sz w:val="20"/>
                <w:szCs w:val="20"/>
              </w:rPr>
              <w:t>Metro Area</w:t>
            </w:r>
          </w:p>
        </w:tc>
        <w:tc>
          <w:tcPr>
            <w:tcW w:w="963" w:type="dxa"/>
            <w:tcBorders>
              <w:top w:val="single" w:sz="4" w:space="0" w:color="auto"/>
              <w:left w:val="nil"/>
              <w:bottom w:val="nil"/>
              <w:right w:val="nil"/>
            </w:tcBorders>
            <w:tcMar>
              <w:top w:w="0" w:type="dxa"/>
              <w:left w:w="108" w:type="dxa"/>
              <w:bottom w:w="0" w:type="dxa"/>
              <w:right w:w="108" w:type="dxa"/>
            </w:tcMar>
            <w:vAlign w:val="center"/>
          </w:tcPr>
          <w:p w14:paraId="631F0E7A" w14:textId="6E7A36AD" w:rsidR="00620A04" w:rsidRPr="00620A04" w:rsidRDefault="00620A04" w:rsidP="00620A04">
            <w:pPr>
              <w:spacing w:line="252" w:lineRule="auto"/>
              <w:ind w:left="44" w:right="62"/>
              <w:jc w:val="right"/>
              <w:rPr>
                <w:rFonts w:ascii="Arial" w:hAnsi="Arial" w:cs="Arial"/>
                <w:sz w:val="20"/>
                <w:szCs w:val="20"/>
              </w:rPr>
            </w:pPr>
            <w:r w:rsidRPr="00620A04">
              <w:rPr>
                <w:rFonts w:ascii="Arial" w:hAnsi="Arial" w:cs="Arial"/>
                <w:sz w:val="20"/>
                <w:szCs w:val="20"/>
              </w:rPr>
              <w:t xml:space="preserve">17,058 </w:t>
            </w:r>
          </w:p>
        </w:tc>
        <w:tc>
          <w:tcPr>
            <w:tcW w:w="930" w:type="dxa"/>
            <w:tcBorders>
              <w:top w:val="single" w:sz="4" w:space="0" w:color="auto"/>
              <w:left w:val="nil"/>
              <w:bottom w:val="nil"/>
              <w:right w:val="nil"/>
            </w:tcBorders>
            <w:tcMar>
              <w:top w:w="0" w:type="dxa"/>
              <w:left w:w="108" w:type="dxa"/>
              <w:bottom w:w="0" w:type="dxa"/>
              <w:right w:w="108" w:type="dxa"/>
            </w:tcMar>
            <w:vAlign w:val="center"/>
          </w:tcPr>
          <w:p w14:paraId="397B451F" w14:textId="61907B3D" w:rsidR="00620A04" w:rsidRPr="00620A04" w:rsidRDefault="00620A04" w:rsidP="00620A04">
            <w:pPr>
              <w:spacing w:line="252" w:lineRule="auto"/>
              <w:ind w:right="58"/>
              <w:jc w:val="right"/>
              <w:rPr>
                <w:rFonts w:ascii="Arial" w:hAnsi="Arial" w:cs="Arial"/>
                <w:sz w:val="20"/>
                <w:szCs w:val="20"/>
              </w:rPr>
            </w:pPr>
            <w:r w:rsidRPr="00620A04">
              <w:rPr>
                <w:rFonts w:ascii="Arial" w:hAnsi="Arial" w:cs="Arial"/>
                <w:sz w:val="20"/>
                <w:szCs w:val="20"/>
              </w:rPr>
              <w:t xml:space="preserve">17,231 </w:t>
            </w:r>
          </w:p>
        </w:tc>
        <w:tc>
          <w:tcPr>
            <w:tcW w:w="985" w:type="dxa"/>
            <w:tcBorders>
              <w:top w:val="nil"/>
              <w:left w:val="nil"/>
              <w:bottom w:val="nil"/>
              <w:right w:val="nil"/>
            </w:tcBorders>
            <w:vAlign w:val="center"/>
          </w:tcPr>
          <w:p w14:paraId="49179831" w14:textId="0C10758C" w:rsidR="00620A04" w:rsidRPr="00620A04" w:rsidRDefault="00620A04" w:rsidP="00620A04">
            <w:pPr>
              <w:spacing w:line="252" w:lineRule="auto"/>
              <w:ind w:right="195"/>
              <w:jc w:val="right"/>
              <w:rPr>
                <w:rFonts w:ascii="Arial" w:hAnsi="Arial" w:cs="Arial"/>
                <w:sz w:val="20"/>
                <w:szCs w:val="20"/>
              </w:rPr>
            </w:pPr>
            <w:r w:rsidRPr="00620A04">
              <w:rPr>
                <w:rFonts w:ascii="Arial" w:hAnsi="Arial" w:cs="Arial"/>
                <w:sz w:val="20"/>
                <w:szCs w:val="20"/>
              </w:rPr>
              <w:t>1.0%</w:t>
            </w:r>
          </w:p>
        </w:tc>
      </w:tr>
      <w:tr w:rsidR="00593670" w:rsidRPr="00627017" w14:paraId="0DD73203" w14:textId="77777777" w:rsidTr="008F7E2F">
        <w:trPr>
          <w:trHeight w:val="80"/>
        </w:trPr>
        <w:tc>
          <w:tcPr>
            <w:tcW w:w="4330" w:type="dxa"/>
            <w:gridSpan w:val="4"/>
            <w:tcBorders>
              <w:top w:val="nil"/>
              <w:left w:val="nil"/>
              <w:bottom w:val="nil"/>
              <w:right w:val="nil"/>
            </w:tcBorders>
            <w:shd w:val="clear" w:color="auto" w:fill="D5DCE4" w:themeFill="text2" w:themeFillTint="33"/>
            <w:tcMar>
              <w:top w:w="0" w:type="dxa"/>
              <w:left w:w="108" w:type="dxa"/>
              <w:bottom w:w="0" w:type="dxa"/>
              <w:right w:w="108" w:type="dxa"/>
            </w:tcMar>
            <w:vAlign w:val="center"/>
          </w:tcPr>
          <w:p w14:paraId="29D28F7B" w14:textId="77777777" w:rsidR="00593670" w:rsidRPr="00620A04" w:rsidRDefault="00593670" w:rsidP="009B1B42">
            <w:pPr>
              <w:spacing w:line="252" w:lineRule="auto"/>
              <w:ind w:right="195"/>
              <w:jc w:val="right"/>
              <w:rPr>
                <w:rFonts w:ascii="Arial" w:hAnsi="Arial" w:cs="Arial"/>
                <w:sz w:val="10"/>
                <w:szCs w:val="10"/>
              </w:rPr>
            </w:pPr>
          </w:p>
        </w:tc>
      </w:tr>
      <w:tr w:rsidR="00620A04" w:rsidRPr="00627017" w14:paraId="4DB026E3" w14:textId="77777777" w:rsidTr="00620A04">
        <w:trPr>
          <w:trHeight w:val="288"/>
        </w:trPr>
        <w:tc>
          <w:tcPr>
            <w:tcW w:w="1452" w:type="dxa"/>
            <w:tcBorders>
              <w:top w:val="nil"/>
              <w:left w:val="nil"/>
              <w:bottom w:val="nil"/>
              <w:right w:val="nil"/>
            </w:tcBorders>
            <w:tcMar>
              <w:top w:w="0" w:type="dxa"/>
              <w:left w:w="108" w:type="dxa"/>
              <w:bottom w:w="0" w:type="dxa"/>
              <w:right w:w="108" w:type="dxa"/>
            </w:tcMar>
            <w:vAlign w:val="center"/>
          </w:tcPr>
          <w:p w14:paraId="13A645C7" w14:textId="4168D92D" w:rsidR="00620A04" w:rsidRPr="00627017" w:rsidRDefault="00620A04" w:rsidP="00620A04">
            <w:pPr>
              <w:spacing w:line="252" w:lineRule="auto"/>
              <w:ind w:left="62" w:right="100"/>
              <w:rPr>
                <w:rFonts w:ascii="Arial" w:hAnsi="Arial" w:cs="Arial"/>
                <w:sz w:val="20"/>
                <w:szCs w:val="20"/>
              </w:rPr>
            </w:pPr>
            <w:r>
              <w:rPr>
                <w:rFonts w:ascii="Arial" w:hAnsi="Arial" w:cs="Arial"/>
                <w:sz w:val="20"/>
                <w:szCs w:val="20"/>
              </w:rPr>
              <w:t>Sheboygan</w:t>
            </w:r>
          </w:p>
        </w:tc>
        <w:tc>
          <w:tcPr>
            <w:tcW w:w="963" w:type="dxa"/>
            <w:tcBorders>
              <w:top w:val="nil"/>
              <w:left w:val="nil"/>
              <w:bottom w:val="nil"/>
              <w:right w:val="nil"/>
            </w:tcBorders>
            <w:tcMar>
              <w:top w:w="0" w:type="dxa"/>
              <w:left w:w="108" w:type="dxa"/>
              <w:bottom w:w="0" w:type="dxa"/>
              <w:right w:w="108" w:type="dxa"/>
            </w:tcMar>
            <w:vAlign w:val="center"/>
          </w:tcPr>
          <w:p w14:paraId="6EE067B3" w14:textId="10C827EB" w:rsidR="00620A04" w:rsidRPr="00620A04" w:rsidRDefault="00620A04" w:rsidP="00620A04">
            <w:pPr>
              <w:tabs>
                <w:tab w:val="left" w:pos="645"/>
              </w:tabs>
              <w:spacing w:line="252" w:lineRule="auto"/>
              <w:ind w:left="44" w:right="62"/>
              <w:jc w:val="right"/>
              <w:rPr>
                <w:rFonts w:ascii="Arial" w:hAnsi="Arial" w:cs="Arial"/>
                <w:sz w:val="20"/>
                <w:szCs w:val="20"/>
              </w:rPr>
            </w:pPr>
            <w:r w:rsidRPr="00620A04">
              <w:rPr>
                <w:rFonts w:ascii="Arial" w:hAnsi="Arial" w:cs="Arial"/>
                <w:sz w:val="20"/>
                <w:szCs w:val="20"/>
              </w:rPr>
              <w:t xml:space="preserve"> 1,123 </w:t>
            </w:r>
          </w:p>
        </w:tc>
        <w:tc>
          <w:tcPr>
            <w:tcW w:w="930" w:type="dxa"/>
            <w:tcBorders>
              <w:top w:val="nil"/>
              <w:left w:val="nil"/>
              <w:bottom w:val="nil"/>
              <w:right w:val="nil"/>
            </w:tcBorders>
            <w:vAlign w:val="center"/>
          </w:tcPr>
          <w:p w14:paraId="76784B77" w14:textId="22E6FBA5" w:rsidR="00620A04" w:rsidRPr="00620A04" w:rsidRDefault="00620A04" w:rsidP="00620A04">
            <w:pPr>
              <w:spacing w:line="252" w:lineRule="auto"/>
              <w:ind w:right="130"/>
              <w:jc w:val="right"/>
              <w:rPr>
                <w:rFonts w:ascii="Arial" w:hAnsi="Arial" w:cs="Arial"/>
                <w:sz w:val="20"/>
                <w:szCs w:val="20"/>
              </w:rPr>
            </w:pPr>
            <w:r w:rsidRPr="00620A04">
              <w:rPr>
                <w:rFonts w:ascii="Arial" w:hAnsi="Arial" w:cs="Arial"/>
                <w:sz w:val="20"/>
                <w:szCs w:val="20"/>
              </w:rPr>
              <w:t xml:space="preserve"> 1,148 </w:t>
            </w:r>
          </w:p>
        </w:tc>
        <w:tc>
          <w:tcPr>
            <w:tcW w:w="985" w:type="dxa"/>
            <w:tcBorders>
              <w:top w:val="nil"/>
              <w:left w:val="nil"/>
              <w:bottom w:val="nil"/>
              <w:right w:val="nil"/>
            </w:tcBorders>
            <w:vAlign w:val="center"/>
          </w:tcPr>
          <w:p w14:paraId="7FF3F94E" w14:textId="3C002A5A" w:rsidR="00620A04" w:rsidRPr="00620A04" w:rsidRDefault="00620A04" w:rsidP="00620A04">
            <w:pPr>
              <w:spacing w:line="252" w:lineRule="auto"/>
              <w:ind w:right="195"/>
              <w:jc w:val="right"/>
              <w:rPr>
                <w:rFonts w:ascii="Arial" w:hAnsi="Arial" w:cs="Arial"/>
                <w:sz w:val="20"/>
                <w:szCs w:val="20"/>
              </w:rPr>
            </w:pPr>
            <w:r w:rsidRPr="00620A04">
              <w:rPr>
                <w:rFonts w:ascii="Arial" w:hAnsi="Arial" w:cs="Arial"/>
                <w:sz w:val="20"/>
                <w:szCs w:val="20"/>
              </w:rPr>
              <w:t>2.2%</w:t>
            </w:r>
          </w:p>
        </w:tc>
      </w:tr>
      <w:tr w:rsidR="00620A04" w:rsidRPr="00627017" w14:paraId="509D9972" w14:textId="77777777" w:rsidTr="008F7E2F">
        <w:trPr>
          <w:trHeight w:val="288"/>
        </w:trPr>
        <w:tc>
          <w:tcPr>
            <w:tcW w:w="1452" w:type="dxa"/>
            <w:tcBorders>
              <w:top w:val="nil"/>
              <w:left w:val="nil"/>
              <w:bottom w:val="nil"/>
              <w:right w:val="nil"/>
            </w:tcBorders>
            <w:shd w:val="clear" w:color="auto" w:fill="D5DCE4" w:themeFill="text2" w:themeFillTint="33"/>
            <w:tcMar>
              <w:top w:w="0" w:type="dxa"/>
              <w:left w:w="108" w:type="dxa"/>
              <w:bottom w:w="0" w:type="dxa"/>
              <w:right w:w="108" w:type="dxa"/>
            </w:tcMar>
            <w:vAlign w:val="center"/>
          </w:tcPr>
          <w:p w14:paraId="79D0AE8C" w14:textId="10CFD9AB" w:rsidR="00620A04" w:rsidRPr="00627017" w:rsidRDefault="00620A04" w:rsidP="00620A04">
            <w:pPr>
              <w:spacing w:line="252" w:lineRule="auto"/>
              <w:ind w:left="62" w:right="100"/>
              <w:rPr>
                <w:rFonts w:ascii="Arial" w:hAnsi="Arial" w:cs="Arial"/>
                <w:sz w:val="20"/>
                <w:szCs w:val="20"/>
              </w:rPr>
            </w:pPr>
            <w:r w:rsidRPr="00627017">
              <w:rPr>
                <w:rFonts w:ascii="Arial" w:hAnsi="Arial" w:cs="Arial"/>
                <w:sz w:val="20"/>
                <w:szCs w:val="20"/>
              </w:rPr>
              <w:t>Racine</w:t>
            </w:r>
          </w:p>
        </w:tc>
        <w:tc>
          <w:tcPr>
            <w:tcW w:w="963" w:type="dxa"/>
            <w:tcBorders>
              <w:top w:val="nil"/>
              <w:left w:val="nil"/>
              <w:bottom w:val="nil"/>
              <w:right w:val="nil"/>
            </w:tcBorders>
            <w:shd w:val="clear" w:color="auto" w:fill="D5DCE4" w:themeFill="text2" w:themeFillTint="33"/>
            <w:tcMar>
              <w:top w:w="0" w:type="dxa"/>
              <w:left w:w="108" w:type="dxa"/>
              <w:bottom w:w="0" w:type="dxa"/>
              <w:right w:w="108" w:type="dxa"/>
            </w:tcMar>
            <w:vAlign w:val="center"/>
          </w:tcPr>
          <w:p w14:paraId="4508B309" w14:textId="6B212DE4" w:rsidR="00620A04" w:rsidRPr="00620A04" w:rsidRDefault="00620A04" w:rsidP="00620A04">
            <w:pPr>
              <w:tabs>
                <w:tab w:val="left" w:pos="645"/>
              </w:tabs>
              <w:spacing w:line="252" w:lineRule="auto"/>
              <w:ind w:left="44" w:right="62"/>
              <w:jc w:val="right"/>
              <w:rPr>
                <w:rFonts w:ascii="Arial" w:hAnsi="Arial" w:cs="Arial"/>
                <w:sz w:val="20"/>
                <w:szCs w:val="20"/>
              </w:rPr>
            </w:pPr>
            <w:r w:rsidRPr="00620A04">
              <w:rPr>
                <w:rFonts w:ascii="Arial" w:hAnsi="Arial" w:cs="Arial"/>
                <w:sz w:val="20"/>
                <w:szCs w:val="20"/>
              </w:rPr>
              <w:t xml:space="preserve"> 2,340 </w:t>
            </w:r>
          </w:p>
        </w:tc>
        <w:tc>
          <w:tcPr>
            <w:tcW w:w="930" w:type="dxa"/>
            <w:tcBorders>
              <w:top w:val="nil"/>
              <w:left w:val="nil"/>
              <w:bottom w:val="nil"/>
              <w:right w:val="nil"/>
            </w:tcBorders>
            <w:shd w:val="clear" w:color="auto" w:fill="D5DCE4" w:themeFill="text2" w:themeFillTint="33"/>
            <w:vAlign w:val="center"/>
          </w:tcPr>
          <w:p w14:paraId="0A53D4D7" w14:textId="27B0117C" w:rsidR="00620A04" w:rsidRPr="00620A04" w:rsidRDefault="00620A04" w:rsidP="00620A04">
            <w:pPr>
              <w:spacing w:line="252" w:lineRule="auto"/>
              <w:ind w:right="130"/>
              <w:jc w:val="right"/>
              <w:rPr>
                <w:rFonts w:ascii="Arial" w:hAnsi="Arial" w:cs="Arial"/>
                <w:sz w:val="20"/>
                <w:szCs w:val="20"/>
              </w:rPr>
            </w:pPr>
            <w:r w:rsidRPr="00620A04">
              <w:rPr>
                <w:rFonts w:ascii="Arial" w:hAnsi="Arial" w:cs="Arial"/>
                <w:sz w:val="20"/>
                <w:szCs w:val="20"/>
              </w:rPr>
              <w:t xml:space="preserve"> 2,376 </w:t>
            </w:r>
          </w:p>
        </w:tc>
        <w:tc>
          <w:tcPr>
            <w:tcW w:w="985" w:type="dxa"/>
            <w:tcBorders>
              <w:top w:val="nil"/>
              <w:left w:val="nil"/>
              <w:bottom w:val="nil"/>
              <w:right w:val="nil"/>
            </w:tcBorders>
            <w:shd w:val="clear" w:color="auto" w:fill="D5DCE4" w:themeFill="text2" w:themeFillTint="33"/>
            <w:vAlign w:val="center"/>
          </w:tcPr>
          <w:p w14:paraId="4D18EF35" w14:textId="738D3295" w:rsidR="00620A04" w:rsidRPr="00620A04" w:rsidRDefault="00620A04" w:rsidP="00620A04">
            <w:pPr>
              <w:spacing w:line="252" w:lineRule="auto"/>
              <w:ind w:right="195"/>
              <w:jc w:val="right"/>
              <w:rPr>
                <w:rFonts w:ascii="Arial" w:hAnsi="Arial" w:cs="Arial"/>
                <w:sz w:val="20"/>
                <w:szCs w:val="20"/>
              </w:rPr>
            </w:pPr>
            <w:r w:rsidRPr="00620A04">
              <w:rPr>
                <w:rFonts w:ascii="Arial" w:hAnsi="Arial" w:cs="Arial"/>
                <w:sz w:val="20"/>
                <w:szCs w:val="20"/>
              </w:rPr>
              <w:t>1.5%</w:t>
            </w:r>
          </w:p>
        </w:tc>
      </w:tr>
      <w:tr w:rsidR="00620A04" w:rsidRPr="00627017" w14:paraId="42ECBD06" w14:textId="77777777" w:rsidTr="00620A04">
        <w:trPr>
          <w:trHeight w:val="288"/>
        </w:trPr>
        <w:tc>
          <w:tcPr>
            <w:tcW w:w="1452" w:type="dxa"/>
            <w:tcBorders>
              <w:top w:val="nil"/>
              <w:left w:val="nil"/>
              <w:bottom w:val="nil"/>
              <w:right w:val="nil"/>
            </w:tcBorders>
            <w:tcMar>
              <w:top w:w="0" w:type="dxa"/>
              <w:left w:w="108" w:type="dxa"/>
              <w:bottom w:w="0" w:type="dxa"/>
              <w:right w:w="108" w:type="dxa"/>
            </w:tcMar>
            <w:vAlign w:val="center"/>
          </w:tcPr>
          <w:p w14:paraId="49149869" w14:textId="009CF0EA" w:rsidR="00620A04" w:rsidRPr="00627017" w:rsidRDefault="00620A04" w:rsidP="00620A04">
            <w:pPr>
              <w:spacing w:line="252" w:lineRule="auto"/>
              <w:ind w:left="62" w:right="100"/>
              <w:rPr>
                <w:rFonts w:ascii="Arial" w:hAnsi="Arial" w:cs="Arial"/>
                <w:sz w:val="20"/>
                <w:szCs w:val="20"/>
              </w:rPr>
            </w:pPr>
            <w:r w:rsidRPr="00627017">
              <w:rPr>
                <w:rFonts w:ascii="Arial" w:hAnsi="Arial" w:cs="Arial"/>
                <w:sz w:val="20"/>
                <w:szCs w:val="20"/>
              </w:rPr>
              <w:t>Kenosha</w:t>
            </w:r>
          </w:p>
        </w:tc>
        <w:tc>
          <w:tcPr>
            <w:tcW w:w="963" w:type="dxa"/>
            <w:tcBorders>
              <w:top w:val="nil"/>
              <w:left w:val="nil"/>
              <w:bottom w:val="nil"/>
              <w:right w:val="nil"/>
            </w:tcBorders>
            <w:tcMar>
              <w:top w:w="0" w:type="dxa"/>
              <w:left w:w="108" w:type="dxa"/>
              <w:bottom w:w="0" w:type="dxa"/>
              <w:right w:w="108" w:type="dxa"/>
            </w:tcMar>
            <w:vAlign w:val="center"/>
          </w:tcPr>
          <w:p w14:paraId="5F92D891" w14:textId="7C190A05" w:rsidR="00620A04" w:rsidRPr="00620A04" w:rsidRDefault="00620A04" w:rsidP="00620A04">
            <w:pPr>
              <w:tabs>
                <w:tab w:val="left" w:pos="645"/>
              </w:tabs>
              <w:spacing w:line="252" w:lineRule="auto"/>
              <w:ind w:left="44" w:right="62"/>
              <w:jc w:val="right"/>
              <w:rPr>
                <w:rFonts w:ascii="Arial" w:hAnsi="Arial" w:cs="Arial"/>
                <w:sz w:val="20"/>
                <w:szCs w:val="20"/>
              </w:rPr>
            </w:pPr>
            <w:r w:rsidRPr="00620A04">
              <w:rPr>
                <w:rFonts w:ascii="Arial" w:hAnsi="Arial" w:cs="Arial"/>
                <w:sz w:val="20"/>
                <w:szCs w:val="20"/>
              </w:rPr>
              <w:t xml:space="preserve"> 1,733 </w:t>
            </w:r>
          </w:p>
        </w:tc>
        <w:tc>
          <w:tcPr>
            <w:tcW w:w="930" w:type="dxa"/>
            <w:tcBorders>
              <w:top w:val="nil"/>
              <w:left w:val="nil"/>
              <w:bottom w:val="nil"/>
              <w:right w:val="nil"/>
            </w:tcBorders>
            <w:vAlign w:val="center"/>
          </w:tcPr>
          <w:p w14:paraId="2E10A580" w14:textId="57EB35C7" w:rsidR="00620A04" w:rsidRPr="00620A04" w:rsidRDefault="00620A04" w:rsidP="00620A04">
            <w:pPr>
              <w:spacing w:line="252" w:lineRule="auto"/>
              <w:ind w:right="130"/>
              <w:jc w:val="right"/>
              <w:rPr>
                <w:rFonts w:ascii="Arial" w:hAnsi="Arial" w:cs="Arial"/>
                <w:sz w:val="20"/>
                <w:szCs w:val="20"/>
              </w:rPr>
            </w:pPr>
            <w:r w:rsidRPr="00620A04">
              <w:rPr>
                <w:rFonts w:ascii="Arial" w:hAnsi="Arial" w:cs="Arial"/>
                <w:sz w:val="20"/>
                <w:szCs w:val="20"/>
              </w:rPr>
              <w:t xml:space="preserve"> 1,666 </w:t>
            </w:r>
          </w:p>
        </w:tc>
        <w:tc>
          <w:tcPr>
            <w:tcW w:w="985" w:type="dxa"/>
            <w:tcBorders>
              <w:top w:val="nil"/>
              <w:left w:val="nil"/>
              <w:bottom w:val="nil"/>
              <w:right w:val="nil"/>
            </w:tcBorders>
            <w:vAlign w:val="center"/>
          </w:tcPr>
          <w:p w14:paraId="4FA9DF6A" w14:textId="08919B66" w:rsidR="00620A04" w:rsidRPr="00620A04" w:rsidRDefault="00620A04" w:rsidP="00620A04">
            <w:pPr>
              <w:spacing w:line="252" w:lineRule="auto"/>
              <w:ind w:right="195"/>
              <w:jc w:val="right"/>
              <w:rPr>
                <w:rFonts w:ascii="Arial" w:hAnsi="Arial" w:cs="Arial"/>
                <w:sz w:val="20"/>
                <w:szCs w:val="20"/>
              </w:rPr>
            </w:pPr>
            <w:r w:rsidRPr="00620A04">
              <w:rPr>
                <w:rFonts w:ascii="Arial" w:hAnsi="Arial" w:cs="Arial"/>
                <w:sz w:val="20"/>
                <w:szCs w:val="20"/>
              </w:rPr>
              <w:t>-3.9%</w:t>
            </w:r>
          </w:p>
        </w:tc>
      </w:tr>
      <w:tr w:rsidR="00620A04" w:rsidRPr="00627017" w14:paraId="122A5C4D" w14:textId="77777777" w:rsidTr="008F7E2F">
        <w:trPr>
          <w:trHeight w:val="288"/>
        </w:trPr>
        <w:tc>
          <w:tcPr>
            <w:tcW w:w="1452" w:type="dxa"/>
            <w:tcBorders>
              <w:top w:val="nil"/>
              <w:left w:val="nil"/>
              <w:bottom w:val="nil"/>
              <w:right w:val="nil"/>
            </w:tcBorders>
            <w:shd w:val="clear" w:color="auto" w:fill="D5DCE4" w:themeFill="text2" w:themeFillTint="33"/>
            <w:tcMar>
              <w:top w:w="0" w:type="dxa"/>
              <w:left w:w="108" w:type="dxa"/>
              <w:bottom w:w="0" w:type="dxa"/>
              <w:right w:w="108" w:type="dxa"/>
            </w:tcMar>
            <w:vAlign w:val="center"/>
          </w:tcPr>
          <w:p w14:paraId="0F1C6F04" w14:textId="2D9046A0" w:rsidR="00620A04" w:rsidRPr="00627017" w:rsidRDefault="00620A04" w:rsidP="00620A04">
            <w:pPr>
              <w:spacing w:line="252" w:lineRule="auto"/>
              <w:ind w:left="62" w:right="100"/>
              <w:rPr>
                <w:rFonts w:ascii="Arial" w:hAnsi="Arial" w:cs="Arial"/>
                <w:sz w:val="20"/>
                <w:szCs w:val="20"/>
              </w:rPr>
            </w:pPr>
            <w:r w:rsidRPr="00627017">
              <w:rPr>
                <w:rFonts w:ascii="Arial" w:hAnsi="Arial" w:cs="Arial"/>
                <w:sz w:val="20"/>
                <w:szCs w:val="20"/>
              </w:rPr>
              <w:t>Walworth</w:t>
            </w:r>
          </w:p>
        </w:tc>
        <w:tc>
          <w:tcPr>
            <w:tcW w:w="963" w:type="dxa"/>
            <w:tcBorders>
              <w:top w:val="nil"/>
              <w:left w:val="nil"/>
              <w:bottom w:val="nil"/>
              <w:right w:val="nil"/>
            </w:tcBorders>
            <w:shd w:val="clear" w:color="auto" w:fill="D5DCE4" w:themeFill="text2" w:themeFillTint="33"/>
            <w:tcMar>
              <w:top w:w="0" w:type="dxa"/>
              <w:left w:w="108" w:type="dxa"/>
              <w:bottom w:w="0" w:type="dxa"/>
              <w:right w:w="108" w:type="dxa"/>
            </w:tcMar>
            <w:vAlign w:val="center"/>
          </w:tcPr>
          <w:p w14:paraId="6EF03030" w14:textId="7875C918" w:rsidR="00620A04" w:rsidRPr="00620A04" w:rsidRDefault="00620A04" w:rsidP="00620A04">
            <w:pPr>
              <w:tabs>
                <w:tab w:val="left" w:pos="645"/>
              </w:tabs>
              <w:spacing w:line="252" w:lineRule="auto"/>
              <w:ind w:left="44" w:right="62"/>
              <w:jc w:val="right"/>
              <w:rPr>
                <w:rFonts w:ascii="Arial" w:hAnsi="Arial" w:cs="Arial"/>
                <w:sz w:val="20"/>
                <w:szCs w:val="20"/>
              </w:rPr>
            </w:pPr>
            <w:r w:rsidRPr="00620A04">
              <w:rPr>
                <w:rFonts w:ascii="Arial" w:hAnsi="Arial" w:cs="Arial"/>
                <w:sz w:val="20"/>
                <w:szCs w:val="20"/>
              </w:rPr>
              <w:t xml:space="preserve"> 1,394 </w:t>
            </w:r>
          </w:p>
        </w:tc>
        <w:tc>
          <w:tcPr>
            <w:tcW w:w="930" w:type="dxa"/>
            <w:tcBorders>
              <w:top w:val="nil"/>
              <w:left w:val="nil"/>
              <w:bottom w:val="nil"/>
              <w:right w:val="nil"/>
            </w:tcBorders>
            <w:shd w:val="clear" w:color="auto" w:fill="D5DCE4" w:themeFill="text2" w:themeFillTint="33"/>
            <w:vAlign w:val="center"/>
          </w:tcPr>
          <w:p w14:paraId="1667CA0E" w14:textId="6848313D" w:rsidR="00620A04" w:rsidRPr="00620A04" w:rsidRDefault="00620A04" w:rsidP="00620A04">
            <w:pPr>
              <w:spacing w:line="252" w:lineRule="auto"/>
              <w:ind w:right="130"/>
              <w:jc w:val="right"/>
              <w:rPr>
                <w:rFonts w:ascii="Arial" w:hAnsi="Arial" w:cs="Arial"/>
                <w:sz w:val="20"/>
                <w:szCs w:val="20"/>
              </w:rPr>
            </w:pPr>
            <w:r w:rsidRPr="00620A04">
              <w:rPr>
                <w:rFonts w:ascii="Arial" w:hAnsi="Arial" w:cs="Arial"/>
                <w:sz w:val="20"/>
                <w:szCs w:val="20"/>
              </w:rPr>
              <w:t xml:space="preserve"> 1,485 </w:t>
            </w:r>
          </w:p>
        </w:tc>
        <w:tc>
          <w:tcPr>
            <w:tcW w:w="985" w:type="dxa"/>
            <w:tcBorders>
              <w:top w:val="nil"/>
              <w:left w:val="nil"/>
              <w:bottom w:val="nil"/>
              <w:right w:val="nil"/>
            </w:tcBorders>
            <w:shd w:val="clear" w:color="auto" w:fill="D5DCE4" w:themeFill="text2" w:themeFillTint="33"/>
            <w:vAlign w:val="center"/>
          </w:tcPr>
          <w:p w14:paraId="26BF40EC" w14:textId="727CA674" w:rsidR="00620A04" w:rsidRPr="00620A04" w:rsidRDefault="00620A04" w:rsidP="00620A04">
            <w:pPr>
              <w:spacing w:line="252" w:lineRule="auto"/>
              <w:ind w:right="195"/>
              <w:jc w:val="right"/>
              <w:rPr>
                <w:rFonts w:ascii="Arial" w:hAnsi="Arial" w:cs="Arial"/>
                <w:sz w:val="20"/>
                <w:szCs w:val="20"/>
              </w:rPr>
            </w:pPr>
            <w:r w:rsidRPr="00620A04">
              <w:rPr>
                <w:rFonts w:ascii="Arial" w:hAnsi="Arial" w:cs="Arial"/>
                <w:sz w:val="20"/>
                <w:szCs w:val="20"/>
              </w:rPr>
              <w:t>6.5%</w:t>
            </w:r>
          </w:p>
        </w:tc>
      </w:tr>
      <w:tr w:rsidR="00620A04" w:rsidRPr="00627017" w14:paraId="199EA85E" w14:textId="77777777" w:rsidTr="00620A04">
        <w:trPr>
          <w:trHeight w:val="288"/>
        </w:trPr>
        <w:tc>
          <w:tcPr>
            <w:tcW w:w="1452" w:type="dxa"/>
            <w:tcBorders>
              <w:top w:val="single" w:sz="4" w:space="0" w:color="auto"/>
              <w:left w:val="nil"/>
              <w:bottom w:val="nil"/>
              <w:right w:val="nil"/>
            </w:tcBorders>
            <w:tcMar>
              <w:top w:w="0" w:type="dxa"/>
              <w:left w:w="108" w:type="dxa"/>
              <w:bottom w:w="0" w:type="dxa"/>
              <w:right w:w="108" w:type="dxa"/>
            </w:tcMar>
            <w:vAlign w:val="center"/>
          </w:tcPr>
          <w:p w14:paraId="5B8378D0" w14:textId="2E24EC13" w:rsidR="00620A04" w:rsidRPr="00627017" w:rsidRDefault="00620A04" w:rsidP="00620A04">
            <w:pPr>
              <w:spacing w:line="252" w:lineRule="auto"/>
              <w:ind w:left="62" w:right="100"/>
              <w:rPr>
                <w:rFonts w:ascii="Arial" w:hAnsi="Arial" w:cs="Arial"/>
                <w:sz w:val="20"/>
                <w:szCs w:val="20"/>
              </w:rPr>
            </w:pPr>
            <w:r w:rsidRPr="00627017">
              <w:rPr>
                <w:rFonts w:ascii="Arial" w:hAnsi="Arial" w:cs="Arial"/>
                <w:sz w:val="20"/>
                <w:szCs w:val="20"/>
              </w:rPr>
              <w:t>SE WI Area</w:t>
            </w:r>
          </w:p>
        </w:tc>
        <w:tc>
          <w:tcPr>
            <w:tcW w:w="963" w:type="dxa"/>
            <w:tcBorders>
              <w:top w:val="single" w:sz="4" w:space="0" w:color="auto"/>
              <w:left w:val="nil"/>
              <w:bottom w:val="nil"/>
              <w:right w:val="nil"/>
            </w:tcBorders>
            <w:tcMar>
              <w:top w:w="0" w:type="dxa"/>
              <w:left w:w="108" w:type="dxa"/>
              <w:bottom w:w="0" w:type="dxa"/>
              <w:right w:w="108" w:type="dxa"/>
            </w:tcMar>
            <w:vAlign w:val="center"/>
          </w:tcPr>
          <w:p w14:paraId="5DBEA665" w14:textId="7B325986" w:rsidR="00620A04" w:rsidRPr="00620A04" w:rsidRDefault="00620A04" w:rsidP="00620A04">
            <w:pPr>
              <w:tabs>
                <w:tab w:val="left" w:pos="645"/>
              </w:tabs>
              <w:spacing w:line="252" w:lineRule="auto"/>
              <w:ind w:left="44" w:right="62"/>
              <w:jc w:val="right"/>
              <w:rPr>
                <w:rFonts w:ascii="Arial" w:hAnsi="Arial" w:cs="Arial"/>
                <w:sz w:val="20"/>
                <w:szCs w:val="20"/>
              </w:rPr>
            </w:pPr>
            <w:r w:rsidRPr="00620A04">
              <w:rPr>
                <w:rFonts w:ascii="Arial" w:hAnsi="Arial" w:cs="Arial"/>
                <w:sz w:val="20"/>
                <w:szCs w:val="20"/>
              </w:rPr>
              <w:t xml:space="preserve">23,648 </w:t>
            </w:r>
          </w:p>
        </w:tc>
        <w:tc>
          <w:tcPr>
            <w:tcW w:w="930" w:type="dxa"/>
            <w:tcBorders>
              <w:top w:val="single" w:sz="4" w:space="0" w:color="auto"/>
              <w:left w:val="nil"/>
              <w:bottom w:val="nil"/>
              <w:right w:val="nil"/>
            </w:tcBorders>
            <w:vAlign w:val="center"/>
          </w:tcPr>
          <w:p w14:paraId="76024608" w14:textId="5EAB899D" w:rsidR="00620A04" w:rsidRPr="00620A04" w:rsidRDefault="00620A04" w:rsidP="00620A04">
            <w:pPr>
              <w:spacing w:line="252" w:lineRule="auto"/>
              <w:ind w:right="130"/>
              <w:jc w:val="right"/>
              <w:rPr>
                <w:rFonts w:ascii="Arial" w:hAnsi="Arial" w:cs="Arial"/>
                <w:sz w:val="20"/>
                <w:szCs w:val="20"/>
              </w:rPr>
            </w:pPr>
            <w:r w:rsidRPr="00620A04">
              <w:rPr>
                <w:rFonts w:ascii="Arial" w:hAnsi="Arial" w:cs="Arial"/>
                <w:sz w:val="20"/>
                <w:szCs w:val="20"/>
              </w:rPr>
              <w:t xml:space="preserve"> 23,906 </w:t>
            </w:r>
          </w:p>
        </w:tc>
        <w:tc>
          <w:tcPr>
            <w:tcW w:w="985" w:type="dxa"/>
            <w:tcBorders>
              <w:top w:val="nil"/>
              <w:left w:val="nil"/>
              <w:bottom w:val="nil"/>
              <w:right w:val="nil"/>
            </w:tcBorders>
            <w:vAlign w:val="center"/>
          </w:tcPr>
          <w:p w14:paraId="50459CD6" w14:textId="0DB53156" w:rsidR="00620A04" w:rsidRPr="00620A04" w:rsidRDefault="00620A04" w:rsidP="00620A04">
            <w:pPr>
              <w:spacing w:line="252" w:lineRule="auto"/>
              <w:ind w:right="195"/>
              <w:jc w:val="right"/>
              <w:rPr>
                <w:rFonts w:ascii="Arial" w:hAnsi="Arial" w:cs="Arial"/>
                <w:sz w:val="20"/>
                <w:szCs w:val="20"/>
              </w:rPr>
            </w:pPr>
            <w:r w:rsidRPr="00620A04">
              <w:rPr>
                <w:rFonts w:ascii="Arial" w:hAnsi="Arial" w:cs="Arial"/>
                <w:sz w:val="20"/>
                <w:szCs w:val="20"/>
              </w:rPr>
              <w:t>1.1%</w:t>
            </w:r>
          </w:p>
        </w:tc>
      </w:tr>
      <w:tr w:rsidR="00627017" w:rsidRPr="00627017" w14:paraId="2A2218DE" w14:textId="77777777" w:rsidTr="00620A04">
        <w:trPr>
          <w:trHeight w:val="144"/>
        </w:trPr>
        <w:tc>
          <w:tcPr>
            <w:tcW w:w="4330" w:type="dxa"/>
            <w:gridSpan w:val="4"/>
            <w:tcBorders>
              <w:top w:val="nil"/>
              <w:left w:val="nil"/>
              <w:bottom w:val="nil"/>
              <w:right w:val="nil"/>
            </w:tcBorders>
            <w:tcMar>
              <w:top w:w="0" w:type="dxa"/>
              <w:left w:w="108" w:type="dxa"/>
              <w:bottom w:w="0" w:type="dxa"/>
              <w:right w:w="108" w:type="dxa"/>
            </w:tcMar>
            <w:vAlign w:val="center"/>
          </w:tcPr>
          <w:p w14:paraId="79937CA7" w14:textId="77777777" w:rsidR="00627017" w:rsidRPr="00627017" w:rsidRDefault="00627017" w:rsidP="00DC07EE">
            <w:pPr>
              <w:spacing w:line="252" w:lineRule="auto"/>
              <w:ind w:right="195"/>
              <w:rPr>
                <w:rFonts w:ascii="Arial" w:hAnsi="Arial" w:cs="Arial"/>
                <w:sz w:val="14"/>
                <w:szCs w:val="14"/>
              </w:rPr>
            </w:pPr>
          </w:p>
        </w:tc>
      </w:tr>
      <w:tr w:rsidR="00F264CF" w:rsidRPr="00627017" w14:paraId="4EF55532" w14:textId="77777777" w:rsidTr="00620A04">
        <w:trPr>
          <w:trHeight w:val="360"/>
        </w:trPr>
        <w:tc>
          <w:tcPr>
            <w:tcW w:w="4330" w:type="dxa"/>
            <w:gridSpan w:val="4"/>
            <w:tcBorders>
              <w:top w:val="nil"/>
              <w:left w:val="nil"/>
              <w:bottom w:val="single" w:sz="8" w:space="0" w:color="FFFFFF" w:themeColor="background1"/>
              <w:right w:val="nil"/>
            </w:tcBorders>
            <w:tcMar>
              <w:top w:w="0" w:type="dxa"/>
              <w:left w:w="108" w:type="dxa"/>
              <w:bottom w:w="0" w:type="dxa"/>
              <w:right w:w="108" w:type="dxa"/>
            </w:tcMar>
            <w:vAlign w:val="center"/>
          </w:tcPr>
          <w:p w14:paraId="4063C7D0" w14:textId="3DC708CA" w:rsidR="00F264CF" w:rsidRPr="00D42F01" w:rsidRDefault="00133D00" w:rsidP="00133D00">
            <w:pPr>
              <w:spacing w:line="252" w:lineRule="auto"/>
              <w:ind w:left="-14" w:right="-15"/>
              <w:rPr>
                <w:rFonts w:ascii="Arial" w:hAnsi="Arial" w:cs="Arial"/>
                <w:sz w:val="22"/>
              </w:rPr>
            </w:pPr>
            <w:r>
              <w:rPr>
                <w:rFonts w:ascii="Arial" w:hAnsi="Arial" w:cs="Arial"/>
                <w:b/>
                <w:bCs/>
                <w:sz w:val="22"/>
              </w:rPr>
              <w:t>December</w:t>
            </w:r>
            <w:r w:rsidR="00F264CF" w:rsidRPr="00D42F01">
              <w:rPr>
                <w:rFonts w:ascii="Arial" w:hAnsi="Arial" w:cs="Arial"/>
                <w:b/>
                <w:bCs/>
                <w:sz w:val="22"/>
              </w:rPr>
              <w:t xml:space="preserve"> </w:t>
            </w:r>
            <w:r w:rsidR="00BD05F0" w:rsidRPr="00D42F01">
              <w:rPr>
                <w:rFonts w:ascii="Arial" w:hAnsi="Arial" w:cs="Arial"/>
                <w:b/>
                <w:bCs/>
                <w:sz w:val="22"/>
              </w:rPr>
              <w:t>Sale</w:t>
            </w:r>
            <w:r w:rsidR="00043760" w:rsidRPr="00D42F01">
              <w:rPr>
                <w:rFonts w:ascii="Arial" w:hAnsi="Arial" w:cs="Arial"/>
                <w:b/>
                <w:bCs/>
                <w:sz w:val="22"/>
              </w:rPr>
              <w:t>s</w:t>
            </w:r>
          </w:p>
        </w:tc>
      </w:tr>
      <w:tr w:rsidR="00513B1A" w:rsidRPr="00627017" w14:paraId="41B9A98A" w14:textId="77777777" w:rsidTr="00620A04">
        <w:trPr>
          <w:trHeight w:val="288"/>
        </w:trPr>
        <w:tc>
          <w:tcPr>
            <w:tcW w:w="1452" w:type="dxa"/>
            <w:tcBorders>
              <w:top w:val="nil"/>
              <w:left w:val="nil"/>
              <w:bottom w:val="nil"/>
              <w:right w:val="single" w:sz="12" w:space="0" w:color="FFFFFF"/>
            </w:tcBorders>
            <w:shd w:val="clear" w:color="auto" w:fill="1F4E79"/>
            <w:tcMar>
              <w:top w:w="0" w:type="dxa"/>
              <w:left w:w="108" w:type="dxa"/>
              <w:bottom w:w="0" w:type="dxa"/>
              <w:right w:w="108" w:type="dxa"/>
            </w:tcMar>
            <w:vAlign w:val="center"/>
          </w:tcPr>
          <w:p w14:paraId="514C8D82" w14:textId="3F1C9345" w:rsidR="00513B1A" w:rsidRPr="00627017" w:rsidRDefault="00513B1A" w:rsidP="00513B1A">
            <w:pPr>
              <w:spacing w:line="252" w:lineRule="auto"/>
              <w:ind w:left="62" w:right="100"/>
              <w:rPr>
                <w:rFonts w:ascii="Arial" w:hAnsi="Arial" w:cs="Arial"/>
                <w:color w:val="FFFFFF" w:themeColor="background1"/>
                <w:sz w:val="20"/>
                <w:szCs w:val="20"/>
              </w:rPr>
            </w:pPr>
            <w:r w:rsidRPr="00627017">
              <w:rPr>
                <w:rFonts w:ascii="Arial" w:hAnsi="Arial" w:cs="Arial"/>
                <w:bCs/>
                <w:color w:val="FFFFFF" w:themeColor="background1"/>
                <w:sz w:val="20"/>
                <w:szCs w:val="20"/>
              </w:rPr>
              <w:t>County</w:t>
            </w:r>
          </w:p>
        </w:tc>
        <w:tc>
          <w:tcPr>
            <w:tcW w:w="963" w:type="dxa"/>
            <w:tcBorders>
              <w:top w:val="nil"/>
              <w:left w:val="single" w:sz="12" w:space="0" w:color="FFFFFF"/>
              <w:bottom w:val="nil"/>
              <w:right w:val="single" w:sz="12" w:space="0" w:color="FFFFFF"/>
            </w:tcBorders>
            <w:shd w:val="clear" w:color="auto" w:fill="1F4E79"/>
            <w:tcMar>
              <w:top w:w="0" w:type="dxa"/>
              <w:left w:w="108" w:type="dxa"/>
              <w:bottom w:w="0" w:type="dxa"/>
              <w:right w:w="108" w:type="dxa"/>
            </w:tcMar>
            <w:vAlign w:val="center"/>
          </w:tcPr>
          <w:p w14:paraId="64D92B70" w14:textId="345ACC8A" w:rsidR="00513B1A" w:rsidRPr="00627017" w:rsidRDefault="00513B1A" w:rsidP="00513B1A">
            <w:pPr>
              <w:spacing w:line="252" w:lineRule="auto"/>
              <w:ind w:left="44" w:right="62"/>
              <w:jc w:val="center"/>
              <w:rPr>
                <w:rFonts w:ascii="Arial" w:hAnsi="Arial" w:cs="Arial"/>
                <w:color w:val="FFFFFF" w:themeColor="background1"/>
                <w:sz w:val="20"/>
                <w:szCs w:val="20"/>
              </w:rPr>
            </w:pPr>
            <w:r w:rsidRPr="00627017">
              <w:rPr>
                <w:rFonts w:ascii="Arial" w:hAnsi="Arial" w:cs="Arial"/>
                <w:color w:val="FFFFFF" w:themeColor="background1"/>
                <w:sz w:val="20"/>
                <w:szCs w:val="20"/>
              </w:rPr>
              <w:t>202</w:t>
            </w:r>
            <w:r w:rsidR="009F28D2">
              <w:rPr>
                <w:rFonts w:ascii="Arial" w:hAnsi="Arial" w:cs="Arial"/>
                <w:color w:val="FFFFFF" w:themeColor="background1"/>
                <w:sz w:val="20"/>
                <w:szCs w:val="20"/>
              </w:rPr>
              <w:t>4</w:t>
            </w:r>
          </w:p>
        </w:tc>
        <w:tc>
          <w:tcPr>
            <w:tcW w:w="930" w:type="dxa"/>
            <w:tcBorders>
              <w:top w:val="nil"/>
              <w:left w:val="single" w:sz="12" w:space="0" w:color="FFFFFF"/>
              <w:bottom w:val="nil"/>
              <w:right w:val="single" w:sz="12" w:space="0" w:color="FFFFFF"/>
            </w:tcBorders>
            <w:shd w:val="clear" w:color="auto" w:fill="1F4E79"/>
            <w:vAlign w:val="center"/>
          </w:tcPr>
          <w:p w14:paraId="4F05FF4B" w14:textId="4708A7DF" w:rsidR="00513B1A" w:rsidRPr="00627017" w:rsidRDefault="00513B1A" w:rsidP="00513B1A">
            <w:pPr>
              <w:spacing w:line="252" w:lineRule="auto"/>
              <w:jc w:val="center"/>
              <w:rPr>
                <w:rFonts w:ascii="Arial" w:hAnsi="Arial" w:cs="Arial"/>
                <w:color w:val="FFFFFF" w:themeColor="background1"/>
                <w:sz w:val="20"/>
                <w:szCs w:val="20"/>
              </w:rPr>
            </w:pPr>
            <w:r w:rsidRPr="00627017">
              <w:rPr>
                <w:rFonts w:ascii="Arial" w:hAnsi="Arial" w:cs="Arial"/>
                <w:color w:val="FFFFFF" w:themeColor="background1"/>
                <w:sz w:val="20"/>
                <w:szCs w:val="20"/>
              </w:rPr>
              <w:t>202</w:t>
            </w:r>
            <w:r w:rsidR="009F28D2">
              <w:rPr>
                <w:rFonts w:ascii="Arial" w:hAnsi="Arial" w:cs="Arial"/>
                <w:color w:val="FFFFFF" w:themeColor="background1"/>
                <w:sz w:val="20"/>
                <w:szCs w:val="20"/>
              </w:rPr>
              <w:t>5</w:t>
            </w:r>
          </w:p>
        </w:tc>
        <w:tc>
          <w:tcPr>
            <w:tcW w:w="985" w:type="dxa"/>
            <w:tcBorders>
              <w:top w:val="nil"/>
              <w:left w:val="single" w:sz="12" w:space="0" w:color="FFFFFF"/>
              <w:bottom w:val="nil"/>
              <w:right w:val="nil"/>
            </w:tcBorders>
            <w:shd w:val="clear" w:color="auto" w:fill="1F4E79"/>
            <w:vAlign w:val="center"/>
          </w:tcPr>
          <w:p w14:paraId="341FC447" w14:textId="08536757" w:rsidR="00513B1A" w:rsidRPr="00627017" w:rsidRDefault="00DB59A4" w:rsidP="00513B1A">
            <w:pPr>
              <w:spacing w:line="252" w:lineRule="auto"/>
              <w:ind w:right="15"/>
              <w:jc w:val="center"/>
              <w:rPr>
                <w:rFonts w:ascii="Arial" w:hAnsi="Arial" w:cs="Arial"/>
                <w:color w:val="FFFFFF" w:themeColor="background1"/>
                <w:sz w:val="20"/>
                <w:szCs w:val="20"/>
              </w:rPr>
            </w:pPr>
            <w:r w:rsidRPr="00DB59A4">
              <w:rPr>
                <w:rFonts w:ascii="Arial Narrow" w:hAnsi="Arial Narrow" w:cs="Arial"/>
                <w:color w:val="FFFFFF" w:themeColor="background1"/>
                <w:sz w:val="20"/>
                <w:szCs w:val="20"/>
              </w:rPr>
              <w:t>% Change</w:t>
            </w:r>
          </w:p>
        </w:tc>
      </w:tr>
      <w:tr w:rsidR="00133D00" w:rsidRPr="00627017" w14:paraId="1AA23907" w14:textId="77777777" w:rsidTr="00620A04">
        <w:trPr>
          <w:trHeight w:val="288"/>
        </w:trPr>
        <w:tc>
          <w:tcPr>
            <w:tcW w:w="1452" w:type="dxa"/>
            <w:tcBorders>
              <w:top w:val="single" w:sz="8" w:space="0" w:color="FFFFFF" w:themeColor="background1"/>
              <w:left w:val="nil"/>
              <w:bottom w:val="nil"/>
              <w:right w:val="nil"/>
            </w:tcBorders>
            <w:tcMar>
              <w:top w:w="0" w:type="dxa"/>
              <w:left w:w="108" w:type="dxa"/>
              <w:bottom w:w="0" w:type="dxa"/>
              <w:right w:w="108" w:type="dxa"/>
            </w:tcMar>
            <w:vAlign w:val="center"/>
          </w:tcPr>
          <w:p w14:paraId="565C3387" w14:textId="7112F323" w:rsidR="00133D00" w:rsidRPr="00627017" w:rsidRDefault="00133D00" w:rsidP="00133D00">
            <w:pPr>
              <w:spacing w:line="252" w:lineRule="auto"/>
              <w:ind w:left="62" w:right="100"/>
              <w:rPr>
                <w:rFonts w:ascii="Arial" w:hAnsi="Arial" w:cs="Arial"/>
                <w:sz w:val="20"/>
                <w:szCs w:val="20"/>
              </w:rPr>
            </w:pPr>
            <w:r>
              <w:rPr>
                <w:rFonts w:ascii="Arial" w:hAnsi="Arial" w:cs="Arial"/>
                <w:sz w:val="20"/>
                <w:szCs w:val="20"/>
              </w:rPr>
              <w:t>Milwaukee</w:t>
            </w:r>
          </w:p>
        </w:tc>
        <w:tc>
          <w:tcPr>
            <w:tcW w:w="963" w:type="dxa"/>
            <w:tcBorders>
              <w:top w:val="single" w:sz="8" w:space="0" w:color="FFFFFF" w:themeColor="background1"/>
              <w:left w:val="nil"/>
              <w:bottom w:val="nil"/>
              <w:right w:val="nil"/>
            </w:tcBorders>
            <w:tcMar>
              <w:top w:w="0" w:type="dxa"/>
              <w:left w:w="108" w:type="dxa"/>
              <w:bottom w:w="0" w:type="dxa"/>
              <w:right w:w="108" w:type="dxa"/>
            </w:tcMar>
            <w:vAlign w:val="center"/>
          </w:tcPr>
          <w:p w14:paraId="3B363139" w14:textId="2C56645D" w:rsidR="00133D00" w:rsidRPr="00133D00" w:rsidRDefault="00133D00" w:rsidP="00620A04">
            <w:pPr>
              <w:spacing w:line="252" w:lineRule="auto"/>
              <w:ind w:left="44" w:right="62"/>
              <w:jc w:val="right"/>
              <w:rPr>
                <w:rFonts w:ascii="Arial" w:hAnsi="Arial" w:cs="Arial"/>
                <w:sz w:val="20"/>
                <w:szCs w:val="20"/>
              </w:rPr>
            </w:pPr>
            <w:r w:rsidRPr="00133D00">
              <w:rPr>
                <w:rFonts w:ascii="Arial" w:hAnsi="Arial" w:cs="Arial"/>
                <w:sz w:val="20"/>
                <w:szCs w:val="20"/>
              </w:rPr>
              <w:t>761</w:t>
            </w:r>
          </w:p>
        </w:tc>
        <w:tc>
          <w:tcPr>
            <w:tcW w:w="930" w:type="dxa"/>
            <w:tcBorders>
              <w:top w:val="single" w:sz="8" w:space="0" w:color="FFFFFF" w:themeColor="background1"/>
              <w:left w:val="nil"/>
              <w:bottom w:val="nil"/>
              <w:right w:val="nil"/>
            </w:tcBorders>
            <w:vAlign w:val="center"/>
          </w:tcPr>
          <w:p w14:paraId="4B6FA7B2" w14:textId="1DFD1BBA" w:rsidR="00133D00" w:rsidRPr="00133D00" w:rsidRDefault="00133D00" w:rsidP="00620A04">
            <w:pPr>
              <w:spacing w:line="252" w:lineRule="auto"/>
              <w:ind w:right="110"/>
              <w:jc w:val="right"/>
              <w:rPr>
                <w:rFonts w:ascii="Arial" w:hAnsi="Arial" w:cs="Arial"/>
                <w:sz w:val="20"/>
                <w:szCs w:val="20"/>
              </w:rPr>
            </w:pPr>
            <w:r w:rsidRPr="00133D00">
              <w:rPr>
                <w:rFonts w:ascii="Arial" w:hAnsi="Arial" w:cs="Arial"/>
                <w:sz w:val="20"/>
                <w:szCs w:val="20"/>
              </w:rPr>
              <w:t>725</w:t>
            </w:r>
          </w:p>
        </w:tc>
        <w:tc>
          <w:tcPr>
            <w:tcW w:w="985" w:type="dxa"/>
            <w:tcBorders>
              <w:top w:val="single" w:sz="8" w:space="0" w:color="FFFFFF" w:themeColor="background1"/>
              <w:left w:val="nil"/>
              <w:bottom w:val="nil"/>
              <w:right w:val="nil"/>
            </w:tcBorders>
            <w:vAlign w:val="center"/>
          </w:tcPr>
          <w:p w14:paraId="158140DE" w14:textId="0E2182B2" w:rsidR="00133D00" w:rsidRPr="00133D00" w:rsidRDefault="00133D00" w:rsidP="00620A04">
            <w:pPr>
              <w:spacing w:line="252" w:lineRule="auto"/>
              <w:ind w:right="195"/>
              <w:jc w:val="right"/>
              <w:rPr>
                <w:rFonts w:ascii="Arial" w:hAnsi="Arial" w:cs="Arial"/>
                <w:sz w:val="20"/>
                <w:szCs w:val="20"/>
              </w:rPr>
            </w:pPr>
            <w:r w:rsidRPr="00133D00">
              <w:rPr>
                <w:rFonts w:ascii="Arial" w:hAnsi="Arial" w:cs="Arial"/>
                <w:sz w:val="20"/>
                <w:szCs w:val="20"/>
              </w:rPr>
              <w:t>-4.7%</w:t>
            </w:r>
          </w:p>
        </w:tc>
      </w:tr>
      <w:tr w:rsidR="00133D00" w:rsidRPr="00627017" w14:paraId="57BCDE15" w14:textId="77777777" w:rsidTr="008F7E2F">
        <w:trPr>
          <w:trHeight w:val="288"/>
        </w:trPr>
        <w:tc>
          <w:tcPr>
            <w:tcW w:w="1452" w:type="dxa"/>
            <w:tcBorders>
              <w:top w:val="nil"/>
              <w:left w:val="nil"/>
              <w:bottom w:val="nil"/>
              <w:right w:val="nil"/>
            </w:tcBorders>
            <w:shd w:val="clear" w:color="auto" w:fill="D5DCE4" w:themeFill="text2" w:themeFillTint="33"/>
            <w:tcMar>
              <w:top w:w="0" w:type="dxa"/>
              <w:left w:w="108" w:type="dxa"/>
              <w:bottom w:w="0" w:type="dxa"/>
              <w:right w:w="108" w:type="dxa"/>
            </w:tcMar>
            <w:vAlign w:val="center"/>
          </w:tcPr>
          <w:p w14:paraId="4EC6416C" w14:textId="6A2A5A43" w:rsidR="00133D00" w:rsidRPr="00627017" w:rsidRDefault="00133D00" w:rsidP="00133D00">
            <w:pPr>
              <w:spacing w:line="252" w:lineRule="auto"/>
              <w:ind w:left="62" w:right="100"/>
              <w:rPr>
                <w:rFonts w:ascii="Arial" w:hAnsi="Arial" w:cs="Arial"/>
                <w:sz w:val="20"/>
                <w:szCs w:val="20"/>
              </w:rPr>
            </w:pPr>
            <w:r>
              <w:rPr>
                <w:rFonts w:ascii="Arial" w:hAnsi="Arial" w:cs="Arial"/>
                <w:color w:val="000000"/>
                <w:sz w:val="20"/>
                <w:szCs w:val="20"/>
              </w:rPr>
              <w:t>Waukesha</w:t>
            </w:r>
          </w:p>
        </w:tc>
        <w:tc>
          <w:tcPr>
            <w:tcW w:w="963" w:type="dxa"/>
            <w:tcBorders>
              <w:top w:val="nil"/>
              <w:left w:val="nil"/>
              <w:bottom w:val="nil"/>
              <w:right w:val="nil"/>
            </w:tcBorders>
            <w:shd w:val="clear" w:color="auto" w:fill="D5DCE4" w:themeFill="text2" w:themeFillTint="33"/>
            <w:tcMar>
              <w:top w:w="0" w:type="dxa"/>
              <w:left w:w="108" w:type="dxa"/>
              <w:bottom w:w="0" w:type="dxa"/>
              <w:right w:w="108" w:type="dxa"/>
            </w:tcMar>
            <w:vAlign w:val="center"/>
          </w:tcPr>
          <w:p w14:paraId="52C930A4" w14:textId="256D374B" w:rsidR="00133D00" w:rsidRPr="00133D00" w:rsidRDefault="00133D00" w:rsidP="00620A04">
            <w:pPr>
              <w:spacing w:line="252" w:lineRule="auto"/>
              <w:ind w:left="44" w:right="62"/>
              <w:jc w:val="right"/>
              <w:rPr>
                <w:rFonts w:ascii="Arial" w:hAnsi="Arial" w:cs="Arial"/>
                <w:sz w:val="20"/>
                <w:szCs w:val="20"/>
              </w:rPr>
            </w:pPr>
            <w:r w:rsidRPr="00133D00">
              <w:rPr>
                <w:rFonts w:ascii="Arial" w:hAnsi="Arial" w:cs="Arial"/>
                <w:sz w:val="20"/>
                <w:szCs w:val="20"/>
              </w:rPr>
              <w:t>351</w:t>
            </w:r>
          </w:p>
        </w:tc>
        <w:tc>
          <w:tcPr>
            <w:tcW w:w="930" w:type="dxa"/>
            <w:tcBorders>
              <w:top w:val="nil"/>
              <w:left w:val="nil"/>
              <w:bottom w:val="nil"/>
              <w:right w:val="nil"/>
            </w:tcBorders>
            <w:shd w:val="clear" w:color="auto" w:fill="D5DCE4" w:themeFill="text2" w:themeFillTint="33"/>
            <w:vAlign w:val="center"/>
          </w:tcPr>
          <w:p w14:paraId="789B2F76" w14:textId="10A1A9AE" w:rsidR="00133D00" w:rsidRPr="00133D00" w:rsidRDefault="00133D00" w:rsidP="00620A04">
            <w:pPr>
              <w:spacing w:line="252" w:lineRule="auto"/>
              <w:ind w:right="110"/>
              <w:jc w:val="right"/>
              <w:rPr>
                <w:rFonts w:ascii="Arial" w:hAnsi="Arial" w:cs="Arial"/>
                <w:sz w:val="20"/>
                <w:szCs w:val="20"/>
              </w:rPr>
            </w:pPr>
            <w:r w:rsidRPr="00133D00">
              <w:rPr>
                <w:rFonts w:ascii="Arial" w:hAnsi="Arial" w:cs="Arial"/>
                <w:sz w:val="20"/>
                <w:szCs w:val="20"/>
              </w:rPr>
              <w:t>366</w:t>
            </w:r>
          </w:p>
        </w:tc>
        <w:tc>
          <w:tcPr>
            <w:tcW w:w="985" w:type="dxa"/>
            <w:tcBorders>
              <w:top w:val="nil"/>
              <w:left w:val="nil"/>
              <w:bottom w:val="nil"/>
              <w:right w:val="nil"/>
            </w:tcBorders>
            <w:shd w:val="clear" w:color="auto" w:fill="D5DCE4" w:themeFill="text2" w:themeFillTint="33"/>
            <w:vAlign w:val="center"/>
          </w:tcPr>
          <w:p w14:paraId="7478C224" w14:textId="3AB560B4" w:rsidR="00133D00" w:rsidRPr="00133D00" w:rsidRDefault="00133D00" w:rsidP="00620A04">
            <w:pPr>
              <w:spacing w:line="252" w:lineRule="auto"/>
              <w:ind w:right="195"/>
              <w:jc w:val="right"/>
              <w:rPr>
                <w:rFonts w:ascii="Arial" w:hAnsi="Arial" w:cs="Arial"/>
                <w:sz w:val="20"/>
                <w:szCs w:val="20"/>
              </w:rPr>
            </w:pPr>
            <w:r w:rsidRPr="00133D00">
              <w:rPr>
                <w:rFonts w:ascii="Arial" w:hAnsi="Arial" w:cs="Arial"/>
                <w:sz w:val="20"/>
                <w:szCs w:val="20"/>
              </w:rPr>
              <w:t>4.3%</w:t>
            </w:r>
          </w:p>
        </w:tc>
      </w:tr>
      <w:tr w:rsidR="00133D00" w:rsidRPr="00627017" w14:paraId="355A5DBE" w14:textId="77777777" w:rsidTr="00620A04">
        <w:trPr>
          <w:trHeight w:val="288"/>
        </w:trPr>
        <w:tc>
          <w:tcPr>
            <w:tcW w:w="1452" w:type="dxa"/>
            <w:tcBorders>
              <w:top w:val="nil"/>
              <w:left w:val="nil"/>
              <w:bottom w:val="nil"/>
              <w:right w:val="nil"/>
            </w:tcBorders>
            <w:tcMar>
              <w:top w:w="0" w:type="dxa"/>
              <w:left w:w="108" w:type="dxa"/>
              <w:bottom w:w="0" w:type="dxa"/>
              <w:right w:w="108" w:type="dxa"/>
            </w:tcMar>
            <w:vAlign w:val="center"/>
          </w:tcPr>
          <w:p w14:paraId="141817EA" w14:textId="1BC528FC" w:rsidR="00133D00" w:rsidRPr="00627017" w:rsidRDefault="00133D00" w:rsidP="00133D00">
            <w:pPr>
              <w:spacing w:line="252" w:lineRule="auto"/>
              <w:ind w:left="62" w:right="100"/>
              <w:rPr>
                <w:rFonts w:ascii="Arial" w:hAnsi="Arial" w:cs="Arial"/>
                <w:sz w:val="20"/>
                <w:szCs w:val="20"/>
              </w:rPr>
            </w:pPr>
            <w:r>
              <w:rPr>
                <w:rFonts w:ascii="Arial" w:hAnsi="Arial" w:cs="Arial"/>
                <w:sz w:val="20"/>
                <w:szCs w:val="20"/>
              </w:rPr>
              <w:t>Ozaukee</w:t>
            </w:r>
          </w:p>
        </w:tc>
        <w:tc>
          <w:tcPr>
            <w:tcW w:w="963" w:type="dxa"/>
            <w:tcBorders>
              <w:top w:val="nil"/>
              <w:left w:val="nil"/>
              <w:bottom w:val="nil"/>
              <w:right w:val="nil"/>
            </w:tcBorders>
            <w:tcMar>
              <w:top w:w="0" w:type="dxa"/>
              <w:left w:w="108" w:type="dxa"/>
              <w:bottom w:w="0" w:type="dxa"/>
              <w:right w:w="108" w:type="dxa"/>
            </w:tcMar>
            <w:vAlign w:val="center"/>
          </w:tcPr>
          <w:p w14:paraId="7492F775" w14:textId="00DD1EFB" w:rsidR="00133D00" w:rsidRPr="00133D00" w:rsidRDefault="00133D00" w:rsidP="00620A04">
            <w:pPr>
              <w:spacing w:line="252" w:lineRule="auto"/>
              <w:ind w:left="44" w:right="62"/>
              <w:jc w:val="right"/>
              <w:rPr>
                <w:rFonts w:ascii="Arial" w:hAnsi="Arial" w:cs="Arial"/>
                <w:sz w:val="20"/>
                <w:szCs w:val="20"/>
              </w:rPr>
            </w:pPr>
            <w:r w:rsidRPr="00133D00">
              <w:rPr>
                <w:rFonts w:ascii="Arial" w:hAnsi="Arial" w:cs="Arial"/>
                <w:sz w:val="20"/>
                <w:szCs w:val="20"/>
              </w:rPr>
              <w:t>83</w:t>
            </w:r>
          </w:p>
        </w:tc>
        <w:tc>
          <w:tcPr>
            <w:tcW w:w="930" w:type="dxa"/>
            <w:tcBorders>
              <w:top w:val="nil"/>
              <w:left w:val="nil"/>
              <w:bottom w:val="nil"/>
              <w:right w:val="nil"/>
            </w:tcBorders>
            <w:vAlign w:val="center"/>
          </w:tcPr>
          <w:p w14:paraId="4AD890D5" w14:textId="4506CC6F" w:rsidR="00133D00" w:rsidRPr="00133D00" w:rsidRDefault="00133D00" w:rsidP="00620A04">
            <w:pPr>
              <w:spacing w:line="252" w:lineRule="auto"/>
              <w:ind w:right="110"/>
              <w:jc w:val="right"/>
              <w:rPr>
                <w:rFonts w:ascii="Arial" w:hAnsi="Arial" w:cs="Arial"/>
                <w:sz w:val="20"/>
                <w:szCs w:val="20"/>
              </w:rPr>
            </w:pPr>
            <w:r w:rsidRPr="00133D00">
              <w:rPr>
                <w:rFonts w:ascii="Arial" w:hAnsi="Arial" w:cs="Arial"/>
                <w:sz w:val="20"/>
                <w:szCs w:val="20"/>
              </w:rPr>
              <w:t>112</w:t>
            </w:r>
          </w:p>
        </w:tc>
        <w:tc>
          <w:tcPr>
            <w:tcW w:w="985" w:type="dxa"/>
            <w:tcBorders>
              <w:top w:val="nil"/>
              <w:left w:val="nil"/>
              <w:bottom w:val="nil"/>
              <w:right w:val="nil"/>
            </w:tcBorders>
            <w:vAlign w:val="center"/>
          </w:tcPr>
          <w:p w14:paraId="71391152" w14:textId="42F1F499" w:rsidR="00133D00" w:rsidRPr="00133D00" w:rsidRDefault="00133D00" w:rsidP="00620A04">
            <w:pPr>
              <w:spacing w:line="252" w:lineRule="auto"/>
              <w:ind w:right="195"/>
              <w:jc w:val="right"/>
              <w:rPr>
                <w:rFonts w:ascii="Arial" w:hAnsi="Arial" w:cs="Arial"/>
                <w:sz w:val="20"/>
                <w:szCs w:val="20"/>
              </w:rPr>
            </w:pPr>
            <w:r w:rsidRPr="00133D00">
              <w:rPr>
                <w:rFonts w:ascii="Arial" w:hAnsi="Arial" w:cs="Arial"/>
                <w:sz w:val="20"/>
                <w:szCs w:val="20"/>
              </w:rPr>
              <w:t>34.9%</w:t>
            </w:r>
          </w:p>
        </w:tc>
      </w:tr>
      <w:tr w:rsidR="00133D00" w:rsidRPr="00627017" w14:paraId="64E87CC5" w14:textId="77777777" w:rsidTr="008F7E2F">
        <w:trPr>
          <w:trHeight w:val="288"/>
        </w:trPr>
        <w:tc>
          <w:tcPr>
            <w:tcW w:w="1452" w:type="dxa"/>
            <w:tcBorders>
              <w:top w:val="nil"/>
              <w:left w:val="nil"/>
              <w:bottom w:val="single" w:sz="4" w:space="0" w:color="auto"/>
              <w:right w:val="nil"/>
            </w:tcBorders>
            <w:shd w:val="clear" w:color="auto" w:fill="D5DCE4" w:themeFill="text2" w:themeFillTint="33"/>
            <w:tcMar>
              <w:top w:w="0" w:type="dxa"/>
              <w:left w:w="108" w:type="dxa"/>
              <w:bottom w:w="0" w:type="dxa"/>
              <w:right w:w="108" w:type="dxa"/>
            </w:tcMar>
            <w:vAlign w:val="center"/>
          </w:tcPr>
          <w:p w14:paraId="6529B104" w14:textId="4DF0D63F" w:rsidR="00133D00" w:rsidRPr="00627017" w:rsidRDefault="00133D00" w:rsidP="00133D00">
            <w:pPr>
              <w:spacing w:line="252" w:lineRule="auto"/>
              <w:ind w:left="62" w:right="100"/>
              <w:rPr>
                <w:rFonts w:ascii="Arial" w:hAnsi="Arial" w:cs="Arial"/>
                <w:sz w:val="20"/>
                <w:szCs w:val="20"/>
              </w:rPr>
            </w:pPr>
            <w:r>
              <w:rPr>
                <w:rFonts w:ascii="Arial" w:hAnsi="Arial" w:cs="Arial"/>
                <w:color w:val="000000"/>
                <w:sz w:val="20"/>
                <w:szCs w:val="20"/>
              </w:rPr>
              <w:t>Washington</w:t>
            </w:r>
          </w:p>
        </w:tc>
        <w:tc>
          <w:tcPr>
            <w:tcW w:w="963" w:type="dxa"/>
            <w:tcBorders>
              <w:top w:val="nil"/>
              <w:left w:val="nil"/>
              <w:bottom w:val="single" w:sz="4" w:space="0" w:color="auto"/>
              <w:right w:val="nil"/>
            </w:tcBorders>
            <w:shd w:val="clear" w:color="auto" w:fill="D5DCE4" w:themeFill="text2" w:themeFillTint="33"/>
            <w:tcMar>
              <w:top w:w="0" w:type="dxa"/>
              <w:left w:w="108" w:type="dxa"/>
              <w:bottom w:w="0" w:type="dxa"/>
              <w:right w:w="108" w:type="dxa"/>
            </w:tcMar>
            <w:vAlign w:val="center"/>
          </w:tcPr>
          <w:p w14:paraId="527AC7B0" w14:textId="0486571E" w:rsidR="00133D00" w:rsidRPr="00133D00" w:rsidRDefault="00133D00" w:rsidP="00620A04">
            <w:pPr>
              <w:spacing w:line="252" w:lineRule="auto"/>
              <w:ind w:left="44" w:right="62"/>
              <w:jc w:val="right"/>
              <w:rPr>
                <w:rFonts w:ascii="Arial" w:hAnsi="Arial" w:cs="Arial"/>
                <w:sz w:val="20"/>
                <w:szCs w:val="20"/>
              </w:rPr>
            </w:pPr>
            <w:r w:rsidRPr="00133D00">
              <w:rPr>
                <w:rFonts w:ascii="Arial" w:hAnsi="Arial" w:cs="Arial"/>
                <w:sz w:val="20"/>
                <w:szCs w:val="20"/>
              </w:rPr>
              <w:t>117</w:t>
            </w:r>
          </w:p>
        </w:tc>
        <w:tc>
          <w:tcPr>
            <w:tcW w:w="930" w:type="dxa"/>
            <w:tcBorders>
              <w:top w:val="nil"/>
              <w:left w:val="nil"/>
              <w:bottom w:val="single" w:sz="4" w:space="0" w:color="auto"/>
              <w:right w:val="nil"/>
            </w:tcBorders>
            <w:shd w:val="clear" w:color="auto" w:fill="D5DCE4" w:themeFill="text2" w:themeFillTint="33"/>
            <w:vAlign w:val="center"/>
          </w:tcPr>
          <w:p w14:paraId="32E30A01" w14:textId="20AA0280" w:rsidR="00133D00" w:rsidRPr="00133D00" w:rsidRDefault="00133D00" w:rsidP="00620A04">
            <w:pPr>
              <w:spacing w:line="252" w:lineRule="auto"/>
              <w:ind w:right="110"/>
              <w:jc w:val="right"/>
              <w:rPr>
                <w:rFonts w:ascii="Arial" w:hAnsi="Arial" w:cs="Arial"/>
                <w:sz w:val="20"/>
                <w:szCs w:val="20"/>
              </w:rPr>
            </w:pPr>
            <w:r w:rsidRPr="00133D00">
              <w:rPr>
                <w:rFonts w:ascii="Arial" w:hAnsi="Arial" w:cs="Arial"/>
                <w:sz w:val="20"/>
                <w:szCs w:val="20"/>
              </w:rPr>
              <w:t>137</w:t>
            </w:r>
          </w:p>
        </w:tc>
        <w:tc>
          <w:tcPr>
            <w:tcW w:w="985" w:type="dxa"/>
            <w:tcBorders>
              <w:top w:val="nil"/>
              <w:left w:val="nil"/>
              <w:bottom w:val="nil"/>
              <w:right w:val="nil"/>
            </w:tcBorders>
            <w:shd w:val="clear" w:color="auto" w:fill="D5DCE4" w:themeFill="text2" w:themeFillTint="33"/>
            <w:vAlign w:val="center"/>
          </w:tcPr>
          <w:p w14:paraId="4B039E9B" w14:textId="5A617DA0" w:rsidR="00133D00" w:rsidRPr="00133D00" w:rsidRDefault="00133D00" w:rsidP="00620A04">
            <w:pPr>
              <w:spacing w:line="252" w:lineRule="auto"/>
              <w:ind w:right="195"/>
              <w:jc w:val="right"/>
              <w:rPr>
                <w:rFonts w:ascii="Arial" w:hAnsi="Arial" w:cs="Arial"/>
                <w:sz w:val="20"/>
                <w:szCs w:val="20"/>
              </w:rPr>
            </w:pPr>
            <w:r w:rsidRPr="00133D00">
              <w:rPr>
                <w:rFonts w:ascii="Arial" w:hAnsi="Arial" w:cs="Arial"/>
                <w:sz w:val="20"/>
                <w:szCs w:val="20"/>
              </w:rPr>
              <w:t>17.1%</w:t>
            </w:r>
          </w:p>
        </w:tc>
      </w:tr>
      <w:tr w:rsidR="00133D00" w:rsidRPr="00627017" w14:paraId="45CEE296" w14:textId="77777777" w:rsidTr="00620A04">
        <w:trPr>
          <w:trHeight w:val="288"/>
        </w:trPr>
        <w:tc>
          <w:tcPr>
            <w:tcW w:w="1452" w:type="dxa"/>
            <w:tcBorders>
              <w:top w:val="single" w:sz="4" w:space="0" w:color="auto"/>
              <w:left w:val="nil"/>
              <w:bottom w:val="nil"/>
              <w:right w:val="nil"/>
            </w:tcBorders>
            <w:tcMar>
              <w:top w:w="0" w:type="dxa"/>
              <w:left w:w="108" w:type="dxa"/>
              <w:bottom w:w="0" w:type="dxa"/>
              <w:right w:w="108" w:type="dxa"/>
            </w:tcMar>
            <w:vAlign w:val="center"/>
          </w:tcPr>
          <w:p w14:paraId="7ADA86C2" w14:textId="7A275E9B" w:rsidR="00133D00" w:rsidRPr="00627017" w:rsidRDefault="00133D00" w:rsidP="00133D00">
            <w:pPr>
              <w:spacing w:line="252" w:lineRule="auto"/>
              <w:ind w:left="62" w:right="100"/>
              <w:rPr>
                <w:rFonts w:ascii="Arial" w:hAnsi="Arial" w:cs="Arial"/>
                <w:sz w:val="20"/>
                <w:szCs w:val="20"/>
              </w:rPr>
            </w:pPr>
            <w:r>
              <w:rPr>
                <w:rFonts w:ascii="Arial" w:hAnsi="Arial" w:cs="Arial"/>
                <w:sz w:val="20"/>
                <w:szCs w:val="20"/>
              </w:rPr>
              <w:t>Metro Area</w:t>
            </w:r>
          </w:p>
        </w:tc>
        <w:tc>
          <w:tcPr>
            <w:tcW w:w="963" w:type="dxa"/>
            <w:tcBorders>
              <w:top w:val="single" w:sz="4" w:space="0" w:color="auto"/>
              <w:left w:val="nil"/>
              <w:bottom w:val="nil"/>
              <w:right w:val="nil"/>
            </w:tcBorders>
            <w:tcMar>
              <w:top w:w="0" w:type="dxa"/>
              <w:left w:w="108" w:type="dxa"/>
              <w:bottom w:w="0" w:type="dxa"/>
              <w:right w:w="108" w:type="dxa"/>
            </w:tcMar>
            <w:vAlign w:val="center"/>
          </w:tcPr>
          <w:p w14:paraId="4ECB9C3C" w14:textId="249E400A" w:rsidR="00133D00" w:rsidRPr="00133D00" w:rsidRDefault="00133D00" w:rsidP="00620A04">
            <w:pPr>
              <w:spacing w:line="252" w:lineRule="auto"/>
              <w:ind w:left="44" w:right="62"/>
              <w:jc w:val="right"/>
              <w:rPr>
                <w:rFonts w:ascii="Arial" w:hAnsi="Arial" w:cs="Arial"/>
                <w:sz w:val="20"/>
                <w:szCs w:val="20"/>
              </w:rPr>
            </w:pPr>
            <w:r w:rsidRPr="00133D00">
              <w:rPr>
                <w:rFonts w:ascii="Arial" w:hAnsi="Arial" w:cs="Arial"/>
                <w:sz w:val="20"/>
                <w:szCs w:val="20"/>
              </w:rPr>
              <w:t>1,312</w:t>
            </w:r>
          </w:p>
        </w:tc>
        <w:tc>
          <w:tcPr>
            <w:tcW w:w="930" w:type="dxa"/>
            <w:tcBorders>
              <w:top w:val="single" w:sz="4" w:space="0" w:color="auto"/>
              <w:left w:val="nil"/>
              <w:bottom w:val="nil"/>
              <w:right w:val="nil"/>
            </w:tcBorders>
            <w:vAlign w:val="center"/>
          </w:tcPr>
          <w:p w14:paraId="7B60732E" w14:textId="61DE38BD" w:rsidR="00133D00" w:rsidRPr="00133D00" w:rsidRDefault="00133D00" w:rsidP="00620A04">
            <w:pPr>
              <w:spacing w:line="252" w:lineRule="auto"/>
              <w:ind w:right="110"/>
              <w:jc w:val="right"/>
              <w:rPr>
                <w:rFonts w:ascii="Arial" w:hAnsi="Arial" w:cs="Arial"/>
                <w:sz w:val="20"/>
                <w:szCs w:val="20"/>
              </w:rPr>
            </w:pPr>
            <w:r w:rsidRPr="00133D00">
              <w:rPr>
                <w:rFonts w:ascii="Arial" w:hAnsi="Arial" w:cs="Arial"/>
                <w:sz w:val="20"/>
                <w:szCs w:val="20"/>
              </w:rPr>
              <w:t>1,340</w:t>
            </w:r>
          </w:p>
        </w:tc>
        <w:tc>
          <w:tcPr>
            <w:tcW w:w="985" w:type="dxa"/>
            <w:tcBorders>
              <w:top w:val="nil"/>
              <w:left w:val="nil"/>
              <w:bottom w:val="nil"/>
              <w:right w:val="nil"/>
            </w:tcBorders>
            <w:vAlign w:val="center"/>
          </w:tcPr>
          <w:p w14:paraId="3E2FAB64" w14:textId="44243789" w:rsidR="00133D00" w:rsidRPr="00133D00" w:rsidRDefault="00133D00" w:rsidP="00620A04">
            <w:pPr>
              <w:spacing w:line="252" w:lineRule="auto"/>
              <w:ind w:right="195"/>
              <w:jc w:val="right"/>
              <w:rPr>
                <w:rFonts w:ascii="Arial" w:hAnsi="Arial" w:cs="Arial"/>
                <w:sz w:val="20"/>
                <w:szCs w:val="20"/>
              </w:rPr>
            </w:pPr>
            <w:r w:rsidRPr="00133D00">
              <w:rPr>
                <w:rFonts w:ascii="Arial" w:hAnsi="Arial" w:cs="Arial"/>
                <w:sz w:val="20"/>
                <w:szCs w:val="20"/>
              </w:rPr>
              <w:t>2.1%</w:t>
            </w:r>
          </w:p>
        </w:tc>
      </w:tr>
      <w:tr w:rsidR="009B1B42" w:rsidRPr="00627017" w14:paraId="619B4396" w14:textId="77777777" w:rsidTr="008F7E2F">
        <w:trPr>
          <w:trHeight w:val="86"/>
        </w:trPr>
        <w:tc>
          <w:tcPr>
            <w:tcW w:w="4330" w:type="dxa"/>
            <w:gridSpan w:val="4"/>
            <w:tcBorders>
              <w:top w:val="nil"/>
              <w:left w:val="nil"/>
              <w:bottom w:val="nil"/>
              <w:right w:val="nil"/>
            </w:tcBorders>
            <w:shd w:val="clear" w:color="auto" w:fill="D5DCE4" w:themeFill="text2" w:themeFillTint="33"/>
            <w:tcMar>
              <w:top w:w="0" w:type="dxa"/>
              <w:left w:w="108" w:type="dxa"/>
              <w:bottom w:w="0" w:type="dxa"/>
              <w:right w:w="108" w:type="dxa"/>
            </w:tcMar>
            <w:vAlign w:val="center"/>
          </w:tcPr>
          <w:p w14:paraId="00EEBB7C" w14:textId="5C992EAE" w:rsidR="009B1B42" w:rsidRPr="00627017" w:rsidRDefault="009B1B42" w:rsidP="00620A04">
            <w:pPr>
              <w:spacing w:line="252" w:lineRule="auto"/>
              <w:ind w:right="195"/>
              <w:jc w:val="right"/>
              <w:rPr>
                <w:rFonts w:ascii="Arial" w:hAnsi="Arial" w:cs="Arial"/>
                <w:sz w:val="10"/>
                <w:szCs w:val="10"/>
              </w:rPr>
            </w:pPr>
            <w:r>
              <w:rPr>
                <w:rFonts w:ascii="Arial" w:hAnsi="Arial" w:cs="Arial"/>
                <w:sz w:val="10"/>
                <w:szCs w:val="10"/>
              </w:rPr>
              <w:t> </w:t>
            </w:r>
          </w:p>
        </w:tc>
      </w:tr>
      <w:tr w:rsidR="00133D00" w:rsidRPr="00627017" w14:paraId="68627583" w14:textId="77777777" w:rsidTr="00620A04">
        <w:trPr>
          <w:trHeight w:val="288"/>
        </w:trPr>
        <w:tc>
          <w:tcPr>
            <w:tcW w:w="1452" w:type="dxa"/>
            <w:tcBorders>
              <w:top w:val="nil"/>
              <w:left w:val="nil"/>
              <w:bottom w:val="nil"/>
              <w:right w:val="nil"/>
            </w:tcBorders>
            <w:tcMar>
              <w:top w:w="0" w:type="dxa"/>
              <w:left w:w="108" w:type="dxa"/>
              <w:bottom w:w="0" w:type="dxa"/>
              <w:right w:w="108" w:type="dxa"/>
            </w:tcMar>
            <w:vAlign w:val="center"/>
          </w:tcPr>
          <w:p w14:paraId="0C757BF9" w14:textId="608FCDDF" w:rsidR="00133D00" w:rsidRPr="00627017" w:rsidRDefault="00133D00" w:rsidP="00133D00">
            <w:pPr>
              <w:spacing w:line="252" w:lineRule="auto"/>
              <w:ind w:left="62" w:right="100"/>
              <w:rPr>
                <w:rFonts w:ascii="Arial" w:hAnsi="Arial" w:cs="Arial"/>
                <w:sz w:val="20"/>
                <w:szCs w:val="20"/>
              </w:rPr>
            </w:pPr>
            <w:r>
              <w:rPr>
                <w:rFonts w:ascii="Arial" w:hAnsi="Arial" w:cs="Arial"/>
                <w:sz w:val="20"/>
                <w:szCs w:val="20"/>
              </w:rPr>
              <w:t>Sheboygan</w:t>
            </w:r>
          </w:p>
        </w:tc>
        <w:tc>
          <w:tcPr>
            <w:tcW w:w="963" w:type="dxa"/>
            <w:tcBorders>
              <w:top w:val="nil"/>
              <w:left w:val="nil"/>
              <w:bottom w:val="nil"/>
              <w:right w:val="nil"/>
            </w:tcBorders>
            <w:tcMar>
              <w:top w:w="0" w:type="dxa"/>
              <w:left w:w="108" w:type="dxa"/>
              <w:bottom w:w="0" w:type="dxa"/>
              <w:right w:w="108" w:type="dxa"/>
            </w:tcMar>
            <w:vAlign w:val="center"/>
          </w:tcPr>
          <w:p w14:paraId="7924516A" w14:textId="7C166EB3" w:rsidR="00133D00" w:rsidRPr="00627017" w:rsidRDefault="00133D00" w:rsidP="00620A04">
            <w:pPr>
              <w:spacing w:line="252" w:lineRule="auto"/>
              <w:ind w:left="44" w:right="62"/>
              <w:jc w:val="right"/>
              <w:rPr>
                <w:rFonts w:ascii="Arial" w:hAnsi="Arial" w:cs="Arial"/>
                <w:sz w:val="20"/>
                <w:szCs w:val="20"/>
              </w:rPr>
            </w:pPr>
            <w:r>
              <w:rPr>
                <w:rFonts w:ascii="Arial" w:hAnsi="Arial" w:cs="Arial"/>
                <w:sz w:val="20"/>
                <w:szCs w:val="20"/>
              </w:rPr>
              <w:t>83</w:t>
            </w:r>
          </w:p>
        </w:tc>
        <w:tc>
          <w:tcPr>
            <w:tcW w:w="930" w:type="dxa"/>
            <w:tcBorders>
              <w:top w:val="nil"/>
              <w:left w:val="nil"/>
              <w:bottom w:val="nil"/>
              <w:right w:val="nil"/>
            </w:tcBorders>
            <w:vAlign w:val="center"/>
          </w:tcPr>
          <w:p w14:paraId="32084A6E" w14:textId="70D9EC5E" w:rsidR="00133D00" w:rsidRPr="00627017" w:rsidRDefault="00133D00" w:rsidP="00620A04">
            <w:pPr>
              <w:spacing w:line="252" w:lineRule="auto"/>
              <w:ind w:right="110"/>
              <w:jc w:val="right"/>
              <w:rPr>
                <w:rFonts w:ascii="Arial" w:hAnsi="Arial" w:cs="Arial"/>
                <w:sz w:val="20"/>
                <w:szCs w:val="20"/>
              </w:rPr>
            </w:pPr>
            <w:r>
              <w:rPr>
                <w:rFonts w:ascii="Arial" w:hAnsi="Arial" w:cs="Arial"/>
                <w:sz w:val="20"/>
                <w:szCs w:val="20"/>
              </w:rPr>
              <w:t>98</w:t>
            </w:r>
          </w:p>
        </w:tc>
        <w:tc>
          <w:tcPr>
            <w:tcW w:w="985" w:type="dxa"/>
            <w:tcBorders>
              <w:top w:val="nil"/>
              <w:left w:val="nil"/>
              <w:bottom w:val="nil"/>
              <w:right w:val="nil"/>
            </w:tcBorders>
            <w:vAlign w:val="center"/>
          </w:tcPr>
          <w:p w14:paraId="031C1BC8" w14:textId="09A00E7C" w:rsidR="00133D00" w:rsidRPr="00627017" w:rsidRDefault="00133D00" w:rsidP="00620A04">
            <w:pPr>
              <w:spacing w:line="252" w:lineRule="auto"/>
              <w:ind w:right="195"/>
              <w:jc w:val="right"/>
              <w:rPr>
                <w:rFonts w:ascii="Arial" w:hAnsi="Arial" w:cs="Arial"/>
                <w:sz w:val="20"/>
                <w:szCs w:val="20"/>
              </w:rPr>
            </w:pPr>
            <w:r>
              <w:rPr>
                <w:rFonts w:ascii="Arial" w:hAnsi="Arial" w:cs="Arial"/>
                <w:sz w:val="20"/>
                <w:szCs w:val="20"/>
              </w:rPr>
              <w:t>18.1%</w:t>
            </w:r>
          </w:p>
        </w:tc>
      </w:tr>
      <w:tr w:rsidR="00133D00" w:rsidRPr="00627017" w14:paraId="43BFC7D0" w14:textId="77777777" w:rsidTr="008F7E2F">
        <w:trPr>
          <w:trHeight w:val="288"/>
        </w:trPr>
        <w:tc>
          <w:tcPr>
            <w:tcW w:w="1452" w:type="dxa"/>
            <w:tcBorders>
              <w:top w:val="nil"/>
              <w:left w:val="nil"/>
              <w:bottom w:val="nil"/>
              <w:right w:val="nil"/>
            </w:tcBorders>
            <w:shd w:val="clear" w:color="auto" w:fill="D5DCE4" w:themeFill="text2" w:themeFillTint="33"/>
            <w:tcMar>
              <w:top w:w="0" w:type="dxa"/>
              <w:left w:w="108" w:type="dxa"/>
              <w:bottom w:w="0" w:type="dxa"/>
              <w:right w:w="108" w:type="dxa"/>
            </w:tcMar>
            <w:vAlign w:val="center"/>
          </w:tcPr>
          <w:p w14:paraId="795548DD" w14:textId="6F4B9541" w:rsidR="00133D00" w:rsidRPr="00627017" w:rsidRDefault="00133D00" w:rsidP="00133D00">
            <w:pPr>
              <w:spacing w:line="252" w:lineRule="auto"/>
              <w:ind w:left="62" w:right="100"/>
              <w:rPr>
                <w:rFonts w:ascii="Arial" w:hAnsi="Arial" w:cs="Arial"/>
                <w:sz w:val="20"/>
                <w:szCs w:val="20"/>
              </w:rPr>
            </w:pPr>
            <w:r>
              <w:rPr>
                <w:rFonts w:ascii="Arial" w:hAnsi="Arial" w:cs="Arial"/>
                <w:sz w:val="20"/>
                <w:szCs w:val="20"/>
              </w:rPr>
              <w:t>Racine</w:t>
            </w:r>
          </w:p>
        </w:tc>
        <w:tc>
          <w:tcPr>
            <w:tcW w:w="963" w:type="dxa"/>
            <w:tcBorders>
              <w:top w:val="nil"/>
              <w:left w:val="nil"/>
              <w:bottom w:val="nil"/>
              <w:right w:val="nil"/>
            </w:tcBorders>
            <w:shd w:val="clear" w:color="auto" w:fill="D5DCE4" w:themeFill="text2" w:themeFillTint="33"/>
            <w:tcMar>
              <w:top w:w="0" w:type="dxa"/>
              <w:left w:w="108" w:type="dxa"/>
              <w:bottom w:w="0" w:type="dxa"/>
              <w:right w:w="108" w:type="dxa"/>
            </w:tcMar>
            <w:vAlign w:val="center"/>
          </w:tcPr>
          <w:p w14:paraId="76E7F665" w14:textId="473FF48E" w:rsidR="00133D00" w:rsidRPr="00627017" w:rsidRDefault="00133D00" w:rsidP="00620A04">
            <w:pPr>
              <w:spacing w:line="252" w:lineRule="auto"/>
              <w:ind w:left="44" w:right="62"/>
              <w:jc w:val="right"/>
              <w:rPr>
                <w:rFonts w:ascii="Arial" w:hAnsi="Arial" w:cs="Arial"/>
                <w:sz w:val="20"/>
                <w:szCs w:val="20"/>
              </w:rPr>
            </w:pPr>
            <w:r>
              <w:rPr>
                <w:rFonts w:ascii="Arial" w:hAnsi="Arial" w:cs="Arial"/>
                <w:sz w:val="20"/>
                <w:szCs w:val="20"/>
              </w:rPr>
              <w:t>169</w:t>
            </w:r>
          </w:p>
        </w:tc>
        <w:tc>
          <w:tcPr>
            <w:tcW w:w="930" w:type="dxa"/>
            <w:tcBorders>
              <w:top w:val="nil"/>
              <w:left w:val="nil"/>
              <w:bottom w:val="nil"/>
              <w:right w:val="nil"/>
            </w:tcBorders>
            <w:shd w:val="clear" w:color="auto" w:fill="D5DCE4" w:themeFill="text2" w:themeFillTint="33"/>
            <w:vAlign w:val="center"/>
          </w:tcPr>
          <w:p w14:paraId="43559378" w14:textId="3D0B6987" w:rsidR="00133D00" w:rsidRPr="00627017" w:rsidRDefault="00133D00" w:rsidP="00620A04">
            <w:pPr>
              <w:spacing w:line="252" w:lineRule="auto"/>
              <w:ind w:right="110"/>
              <w:jc w:val="right"/>
              <w:rPr>
                <w:rFonts w:ascii="Arial" w:hAnsi="Arial" w:cs="Arial"/>
                <w:sz w:val="20"/>
                <w:szCs w:val="20"/>
              </w:rPr>
            </w:pPr>
            <w:r>
              <w:rPr>
                <w:rFonts w:ascii="Arial" w:hAnsi="Arial" w:cs="Arial"/>
                <w:sz w:val="20"/>
                <w:szCs w:val="20"/>
              </w:rPr>
              <w:t>198</w:t>
            </w:r>
          </w:p>
        </w:tc>
        <w:tc>
          <w:tcPr>
            <w:tcW w:w="985" w:type="dxa"/>
            <w:tcBorders>
              <w:top w:val="nil"/>
              <w:left w:val="nil"/>
              <w:bottom w:val="nil"/>
              <w:right w:val="nil"/>
            </w:tcBorders>
            <w:shd w:val="clear" w:color="auto" w:fill="D5DCE4" w:themeFill="text2" w:themeFillTint="33"/>
            <w:vAlign w:val="center"/>
          </w:tcPr>
          <w:p w14:paraId="45074A72" w14:textId="0F29F5D9" w:rsidR="00133D00" w:rsidRPr="00627017" w:rsidRDefault="00133D00" w:rsidP="00620A04">
            <w:pPr>
              <w:spacing w:line="252" w:lineRule="auto"/>
              <w:ind w:right="195"/>
              <w:jc w:val="right"/>
              <w:rPr>
                <w:rFonts w:ascii="Arial" w:hAnsi="Arial" w:cs="Arial"/>
                <w:sz w:val="20"/>
                <w:szCs w:val="20"/>
              </w:rPr>
            </w:pPr>
            <w:r>
              <w:rPr>
                <w:rFonts w:ascii="Arial" w:hAnsi="Arial" w:cs="Arial"/>
                <w:sz w:val="20"/>
                <w:szCs w:val="20"/>
              </w:rPr>
              <w:t>17.2%</w:t>
            </w:r>
          </w:p>
        </w:tc>
      </w:tr>
      <w:tr w:rsidR="00133D00" w:rsidRPr="00627017" w14:paraId="74C7B9C3" w14:textId="77777777" w:rsidTr="00620A04">
        <w:trPr>
          <w:trHeight w:val="288"/>
        </w:trPr>
        <w:tc>
          <w:tcPr>
            <w:tcW w:w="1452" w:type="dxa"/>
            <w:tcBorders>
              <w:top w:val="nil"/>
              <w:left w:val="nil"/>
              <w:bottom w:val="nil"/>
              <w:right w:val="nil"/>
            </w:tcBorders>
            <w:tcMar>
              <w:top w:w="0" w:type="dxa"/>
              <w:left w:w="108" w:type="dxa"/>
              <w:bottom w:w="0" w:type="dxa"/>
              <w:right w:w="108" w:type="dxa"/>
            </w:tcMar>
            <w:vAlign w:val="center"/>
          </w:tcPr>
          <w:p w14:paraId="3DEEBEF3" w14:textId="37FC6789" w:rsidR="00133D00" w:rsidRPr="00627017" w:rsidRDefault="00133D00" w:rsidP="00133D00">
            <w:pPr>
              <w:spacing w:line="252" w:lineRule="auto"/>
              <w:ind w:left="62" w:right="100"/>
              <w:rPr>
                <w:rFonts w:ascii="Arial" w:hAnsi="Arial" w:cs="Arial"/>
                <w:sz w:val="20"/>
                <w:szCs w:val="20"/>
              </w:rPr>
            </w:pPr>
            <w:r>
              <w:rPr>
                <w:rFonts w:ascii="Arial" w:hAnsi="Arial" w:cs="Arial"/>
                <w:color w:val="000000"/>
                <w:sz w:val="20"/>
                <w:szCs w:val="20"/>
              </w:rPr>
              <w:t>Kenosha</w:t>
            </w:r>
          </w:p>
        </w:tc>
        <w:tc>
          <w:tcPr>
            <w:tcW w:w="963" w:type="dxa"/>
            <w:tcBorders>
              <w:top w:val="nil"/>
              <w:left w:val="nil"/>
              <w:bottom w:val="nil"/>
              <w:right w:val="nil"/>
            </w:tcBorders>
            <w:tcMar>
              <w:top w:w="0" w:type="dxa"/>
              <w:left w:w="108" w:type="dxa"/>
              <w:bottom w:w="0" w:type="dxa"/>
              <w:right w:w="108" w:type="dxa"/>
            </w:tcMar>
            <w:vAlign w:val="center"/>
          </w:tcPr>
          <w:p w14:paraId="60E2E2C3" w14:textId="5EA551FD" w:rsidR="00133D00" w:rsidRPr="00627017" w:rsidRDefault="00133D00" w:rsidP="00620A04">
            <w:pPr>
              <w:spacing w:line="252" w:lineRule="auto"/>
              <w:ind w:left="44" w:right="62"/>
              <w:jc w:val="right"/>
              <w:rPr>
                <w:rFonts w:ascii="Arial" w:hAnsi="Arial" w:cs="Arial"/>
                <w:sz w:val="20"/>
                <w:szCs w:val="20"/>
              </w:rPr>
            </w:pPr>
            <w:r>
              <w:rPr>
                <w:rFonts w:ascii="Arial" w:hAnsi="Arial" w:cs="Arial"/>
                <w:sz w:val="20"/>
                <w:szCs w:val="20"/>
              </w:rPr>
              <w:t>137</w:t>
            </w:r>
          </w:p>
        </w:tc>
        <w:tc>
          <w:tcPr>
            <w:tcW w:w="930" w:type="dxa"/>
            <w:tcBorders>
              <w:top w:val="nil"/>
              <w:left w:val="nil"/>
              <w:bottom w:val="nil"/>
              <w:right w:val="nil"/>
            </w:tcBorders>
            <w:vAlign w:val="center"/>
          </w:tcPr>
          <w:p w14:paraId="6EC2C9D9" w14:textId="5439A3FC" w:rsidR="00133D00" w:rsidRPr="00627017" w:rsidRDefault="00133D00" w:rsidP="00620A04">
            <w:pPr>
              <w:spacing w:line="252" w:lineRule="auto"/>
              <w:ind w:right="110"/>
              <w:jc w:val="right"/>
              <w:rPr>
                <w:rFonts w:ascii="Arial" w:hAnsi="Arial" w:cs="Arial"/>
                <w:sz w:val="20"/>
                <w:szCs w:val="20"/>
              </w:rPr>
            </w:pPr>
            <w:r>
              <w:rPr>
                <w:rFonts w:ascii="Arial" w:hAnsi="Arial" w:cs="Arial"/>
                <w:sz w:val="20"/>
                <w:szCs w:val="20"/>
              </w:rPr>
              <w:t>130</w:t>
            </w:r>
          </w:p>
        </w:tc>
        <w:tc>
          <w:tcPr>
            <w:tcW w:w="985" w:type="dxa"/>
            <w:tcBorders>
              <w:top w:val="nil"/>
              <w:left w:val="nil"/>
              <w:bottom w:val="nil"/>
              <w:right w:val="nil"/>
            </w:tcBorders>
            <w:vAlign w:val="center"/>
          </w:tcPr>
          <w:p w14:paraId="41C6701C" w14:textId="4E9506E8" w:rsidR="00133D00" w:rsidRPr="00627017" w:rsidRDefault="00133D00" w:rsidP="00620A04">
            <w:pPr>
              <w:spacing w:line="252" w:lineRule="auto"/>
              <w:ind w:right="195"/>
              <w:jc w:val="right"/>
              <w:rPr>
                <w:rFonts w:ascii="Arial" w:hAnsi="Arial" w:cs="Arial"/>
                <w:sz w:val="20"/>
                <w:szCs w:val="20"/>
              </w:rPr>
            </w:pPr>
            <w:r>
              <w:rPr>
                <w:rFonts w:ascii="Arial" w:hAnsi="Arial" w:cs="Arial"/>
                <w:sz w:val="20"/>
                <w:szCs w:val="20"/>
              </w:rPr>
              <w:t>-5.1%</w:t>
            </w:r>
          </w:p>
        </w:tc>
      </w:tr>
      <w:tr w:rsidR="00133D00" w:rsidRPr="00627017" w14:paraId="719D3710" w14:textId="77777777" w:rsidTr="008F7E2F">
        <w:trPr>
          <w:trHeight w:val="288"/>
        </w:trPr>
        <w:tc>
          <w:tcPr>
            <w:tcW w:w="1452" w:type="dxa"/>
            <w:tcBorders>
              <w:top w:val="nil"/>
              <w:left w:val="nil"/>
              <w:bottom w:val="single" w:sz="4" w:space="0" w:color="auto"/>
              <w:right w:val="nil"/>
            </w:tcBorders>
            <w:shd w:val="clear" w:color="auto" w:fill="D5DCE4" w:themeFill="text2" w:themeFillTint="33"/>
            <w:tcMar>
              <w:top w:w="0" w:type="dxa"/>
              <w:left w:w="108" w:type="dxa"/>
              <w:bottom w:w="0" w:type="dxa"/>
              <w:right w:w="108" w:type="dxa"/>
            </w:tcMar>
            <w:vAlign w:val="center"/>
          </w:tcPr>
          <w:p w14:paraId="11B17492" w14:textId="13860387" w:rsidR="00133D00" w:rsidRPr="00627017" w:rsidRDefault="00133D00" w:rsidP="00133D00">
            <w:pPr>
              <w:spacing w:line="252" w:lineRule="auto"/>
              <w:ind w:left="62" w:right="100"/>
              <w:rPr>
                <w:rFonts w:ascii="Arial" w:hAnsi="Arial" w:cs="Arial"/>
                <w:sz w:val="20"/>
                <w:szCs w:val="20"/>
              </w:rPr>
            </w:pPr>
            <w:r>
              <w:rPr>
                <w:rFonts w:ascii="Arial" w:hAnsi="Arial" w:cs="Arial"/>
                <w:sz w:val="20"/>
                <w:szCs w:val="20"/>
              </w:rPr>
              <w:t>Walworth</w:t>
            </w:r>
          </w:p>
        </w:tc>
        <w:tc>
          <w:tcPr>
            <w:tcW w:w="963" w:type="dxa"/>
            <w:tcBorders>
              <w:top w:val="nil"/>
              <w:left w:val="nil"/>
              <w:bottom w:val="single" w:sz="4" w:space="0" w:color="auto"/>
              <w:right w:val="nil"/>
            </w:tcBorders>
            <w:shd w:val="clear" w:color="auto" w:fill="D5DCE4" w:themeFill="text2" w:themeFillTint="33"/>
            <w:tcMar>
              <w:top w:w="0" w:type="dxa"/>
              <w:left w:w="108" w:type="dxa"/>
              <w:bottom w:w="0" w:type="dxa"/>
              <w:right w:w="108" w:type="dxa"/>
            </w:tcMar>
            <w:vAlign w:val="center"/>
          </w:tcPr>
          <w:p w14:paraId="7C7520C1" w14:textId="4204B31F" w:rsidR="00133D00" w:rsidRPr="00627017" w:rsidRDefault="00133D00" w:rsidP="00620A04">
            <w:pPr>
              <w:spacing w:line="252" w:lineRule="auto"/>
              <w:ind w:left="44" w:right="62"/>
              <w:jc w:val="right"/>
              <w:rPr>
                <w:rFonts w:ascii="Arial" w:hAnsi="Arial" w:cs="Arial"/>
                <w:sz w:val="20"/>
                <w:szCs w:val="20"/>
              </w:rPr>
            </w:pPr>
            <w:r>
              <w:rPr>
                <w:rFonts w:ascii="Arial" w:hAnsi="Arial" w:cs="Arial"/>
                <w:sz w:val="20"/>
                <w:szCs w:val="20"/>
              </w:rPr>
              <w:t>103</w:t>
            </w:r>
          </w:p>
        </w:tc>
        <w:tc>
          <w:tcPr>
            <w:tcW w:w="930" w:type="dxa"/>
            <w:tcBorders>
              <w:top w:val="nil"/>
              <w:left w:val="nil"/>
              <w:bottom w:val="single" w:sz="4" w:space="0" w:color="auto"/>
              <w:right w:val="nil"/>
            </w:tcBorders>
            <w:shd w:val="clear" w:color="auto" w:fill="D5DCE4" w:themeFill="text2" w:themeFillTint="33"/>
            <w:vAlign w:val="center"/>
          </w:tcPr>
          <w:p w14:paraId="0F38483E" w14:textId="61998216" w:rsidR="00133D00" w:rsidRPr="00627017" w:rsidRDefault="00133D00" w:rsidP="00620A04">
            <w:pPr>
              <w:spacing w:line="252" w:lineRule="auto"/>
              <w:ind w:right="110"/>
              <w:jc w:val="right"/>
              <w:rPr>
                <w:rFonts w:ascii="Arial" w:hAnsi="Arial" w:cs="Arial"/>
                <w:sz w:val="20"/>
                <w:szCs w:val="20"/>
              </w:rPr>
            </w:pPr>
            <w:r>
              <w:rPr>
                <w:rFonts w:ascii="Arial" w:hAnsi="Arial" w:cs="Arial"/>
                <w:sz w:val="20"/>
                <w:szCs w:val="20"/>
              </w:rPr>
              <w:t>119</w:t>
            </w:r>
          </w:p>
        </w:tc>
        <w:tc>
          <w:tcPr>
            <w:tcW w:w="985" w:type="dxa"/>
            <w:tcBorders>
              <w:top w:val="nil"/>
              <w:left w:val="nil"/>
              <w:bottom w:val="nil"/>
              <w:right w:val="nil"/>
            </w:tcBorders>
            <w:shd w:val="clear" w:color="auto" w:fill="D5DCE4" w:themeFill="text2" w:themeFillTint="33"/>
            <w:vAlign w:val="center"/>
          </w:tcPr>
          <w:p w14:paraId="7D383D86" w14:textId="4A53FCB0" w:rsidR="00133D00" w:rsidRPr="00627017" w:rsidRDefault="00133D00" w:rsidP="00620A04">
            <w:pPr>
              <w:spacing w:line="252" w:lineRule="auto"/>
              <w:ind w:right="195"/>
              <w:jc w:val="right"/>
              <w:rPr>
                <w:rFonts w:ascii="Arial" w:hAnsi="Arial" w:cs="Arial"/>
                <w:sz w:val="20"/>
                <w:szCs w:val="20"/>
              </w:rPr>
            </w:pPr>
            <w:r>
              <w:rPr>
                <w:rFonts w:ascii="Arial" w:hAnsi="Arial" w:cs="Arial"/>
                <w:sz w:val="20"/>
                <w:szCs w:val="20"/>
              </w:rPr>
              <w:t>15.5%</w:t>
            </w:r>
          </w:p>
        </w:tc>
      </w:tr>
      <w:tr w:rsidR="00133D00" w:rsidRPr="00627017" w14:paraId="72FD5738" w14:textId="77777777" w:rsidTr="00620A04">
        <w:trPr>
          <w:trHeight w:val="288"/>
        </w:trPr>
        <w:tc>
          <w:tcPr>
            <w:tcW w:w="1452" w:type="dxa"/>
            <w:tcBorders>
              <w:top w:val="single" w:sz="4" w:space="0" w:color="auto"/>
              <w:left w:val="nil"/>
              <w:bottom w:val="nil"/>
              <w:right w:val="nil"/>
            </w:tcBorders>
            <w:tcMar>
              <w:top w:w="0" w:type="dxa"/>
              <w:left w:w="108" w:type="dxa"/>
              <w:bottom w:w="0" w:type="dxa"/>
              <w:right w:w="108" w:type="dxa"/>
            </w:tcMar>
            <w:vAlign w:val="center"/>
          </w:tcPr>
          <w:p w14:paraId="034C7451" w14:textId="542B4A21" w:rsidR="00133D00" w:rsidRDefault="00133D00" w:rsidP="00133D00">
            <w:pPr>
              <w:spacing w:line="252" w:lineRule="auto"/>
              <w:ind w:left="62" w:right="100"/>
              <w:rPr>
                <w:rFonts w:ascii="Arial" w:hAnsi="Arial" w:cs="Arial"/>
                <w:sz w:val="20"/>
                <w:szCs w:val="20"/>
              </w:rPr>
            </w:pPr>
            <w:r>
              <w:rPr>
                <w:rFonts w:ascii="Arial" w:hAnsi="Arial" w:cs="Arial"/>
                <w:sz w:val="20"/>
                <w:szCs w:val="20"/>
              </w:rPr>
              <w:t>SE WI Area</w:t>
            </w:r>
          </w:p>
        </w:tc>
        <w:tc>
          <w:tcPr>
            <w:tcW w:w="963" w:type="dxa"/>
            <w:tcBorders>
              <w:top w:val="single" w:sz="4" w:space="0" w:color="auto"/>
              <w:left w:val="nil"/>
              <w:bottom w:val="nil"/>
              <w:right w:val="nil"/>
            </w:tcBorders>
            <w:tcMar>
              <w:top w:w="0" w:type="dxa"/>
              <w:left w:w="108" w:type="dxa"/>
              <w:bottom w:w="0" w:type="dxa"/>
              <w:right w:w="108" w:type="dxa"/>
            </w:tcMar>
            <w:vAlign w:val="center"/>
          </w:tcPr>
          <w:p w14:paraId="2716EAF2" w14:textId="2CFCA809" w:rsidR="00133D00" w:rsidRDefault="00133D00" w:rsidP="00620A04">
            <w:pPr>
              <w:spacing w:line="252" w:lineRule="auto"/>
              <w:ind w:left="44" w:right="62"/>
              <w:jc w:val="right"/>
              <w:rPr>
                <w:rFonts w:ascii="Arial" w:hAnsi="Arial" w:cs="Arial"/>
                <w:sz w:val="20"/>
                <w:szCs w:val="20"/>
              </w:rPr>
            </w:pPr>
            <w:r>
              <w:rPr>
                <w:rFonts w:ascii="Arial" w:hAnsi="Arial" w:cs="Arial"/>
                <w:color w:val="000000"/>
                <w:sz w:val="20"/>
                <w:szCs w:val="20"/>
              </w:rPr>
              <w:t>1,804</w:t>
            </w:r>
          </w:p>
        </w:tc>
        <w:tc>
          <w:tcPr>
            <w:tcW w:w="930" w:type="dxa"/>
            <w:tcBorders>
              <w:top w:val="single" w:sz="4" w:space="0" w:color="auto"/>
              <w:left w:val="nil"/>
              <w:bottom w:val="nil"/>
              <w:right w:val="nil"/>
            </w:tcBorders>
            <w:vAlign w:val="center"/>
          </w:tcPr>
          <w:p w14:paraId="353FFD24" w14:textId="38DDE4C4" w:rsidR="00133D00" w:rsidRDefault="00133D00" w:rsidP="00620A04">
            <w:pPr>
              <w:spacing w:line="252" w:lineRule="auto"/>
              <w:ind w:right="110"/>
              <w:jc w:val="right"/>
              <w:rPr>
                <w:rFonts w:ascii="Arial" w:hAnsi="Arial" w:cs="Arial"/>
                <w:sz w:val="20"/>
                <w:szCs w:val="20"/>
              </w:rPr>
            </w:pPr>
            <w:r>
              <w:rPr>
                <w:rFonts w:ascii="Arial" w:hAnsi="Arial" w:cs="Arial"/>
                <w:color w:val="000000"/>
                <w:sz w:val="20"/>
                <w:szCs w:val="20"/>
              </w:rPr>
              <w:t>1,885</w:t>
            </w:r>
          </w:p>
        </w:tc>
        <w:tc>
          <w:tcPr>
            <w:tcW w:w="985" w:type="dxa"/>
            <w:tcBorders>
              <w:top w:val="nil"/>
              <w:left w:val="nil"/>
              <w:bottom w:val="nil"/>
              <w:right w:val="nil"/>
            </w:tcBorders>
            <w:vAlign w:val="center"/>
          </w:tcPr>
          <w:p w14:paraId="72DF1389" w14:textId="4E4254E1" w:rsidR="00133D00" w:rsidRDefault="00133D00" w:rsidP="00620A04">
            <w:pPr>
              <w:spacing w:line="252" w:lineRule="auto"/>
              <w:ind w:right="195"/>
              <w:jc w:val="right"/>
              <w:rPr>
                <w:rFonts w:ascii="Arial" w:hAnsi="Arial" w:cs="Arial"/>
                <w:sz w:val="20"/>
                <w:szCs w:val="20"/>
              </w:rPr>
            </w:pPr>
            <w:r>
              <w:rPr>
                <w:rFonts w:ascii="Arial" w:hAnsi="Arial" w:cs="Arial"/>
                <w:sz w:val="20"/>
                <w:szCs w:val="20"/>
              </w:rPr>
              <w:t>4.5%</w:t>
            </w:r>
          </w:p>
        </w:tc>
      </w:tr>
    </w:tbl>
    <w:p w14:paraId="7F2D578B" w14:textId="3963909A" w:rsidR="00E913B2" w:rsidRPr="00BF0DA5" w:rsidRDefault="00E913B2" w:rsidP="00BF0DA5">
      <w:pPr>
        <w:pStyle w:val="ParagraphIntro"/>
      </w:pPr>
      <w:r w:rsidRPr="00BF0DA5">
        <w:t>Market Summary</w:t>
      </w:r>
    </w:p>
    <w:p w14:paraId="16D3B27D" w14:textId="611F7023" w:rsidR="00F00818" w:rsidRDefault="00F00818" w:rsidP="00F00818">
      <w:r>
        <w:t xml:space="preserve">Home sales in the Metropolitan Milwaukee market ended 2025 slightly ahead of the prior year, finishing just 1% higher </w:t>
      </w:r>
      <w:r w:rsidR="00001ECE">
        <w:t>than in</w:t>
      </w:r>
      <w:r>
        <w:t xml:space="preserve"> 2024. In total, there were 173 more sales in 2025 than in 2024, reflecting a largely stable but constrained market.</w:t>
      </w:r>
    </w:p>
    <w:p w14:paraId="322CC9A4" w14:textId="77777777" w:rsidR="00F00818" w:rsidRDefault="00F00818" w:rsidP="00F00818"/>
    <w:p w14:paraId="52733416" w14:textId="77777777" w:rsidR="00F00818" w:rsidRDefault="00F00818" w:rsidP="00F00818">
      <w:r>
        <w:t>Similarly, sales activity in December was modest across the four-county area, increasing 2.1% compared to December 2024. While positive, this gain underscores how limited overall growth remains.</w:t>
      </w:r>
    </w:p>
    <w:p w14:paraId="6E7B9231" w14:textId="77777777" w:rsidR="00F00818" w:rsidRDefault="00F00818" w:rsidP="00F00818"/>
    <w:p w14:paraId="794BC812" w14:textId="2499D723" w:rsidR="00E802E8" w:rsidRDefault="00F00818" w:rsidP="00F00818">
      <w:r>
        <w:t xml:space="preserve">2025 </w:t>
      </w:r>
      <w:r w:rsidR="006C630A">
        <w:t xml:space="preserve">was </w:t>
      </w:r>
      <w:r>
        <w:t>part of a significant market reset that began in mid-2022, when mortgage interest rates rose sharply from historic lows to levels above 6%. This shift fundamentally changed buyer behavior and overall market dynamics.</w:t>
      </w:r>
    </w:p>
    <w:p w14:paraId="2B06A1A2" w14:textId="77777777" w:rsidR="00E802E8" w:rsidRDefault="00E802E8" w:rsidP="0096778F"/>
    <w:p w14:paraId="12E919D3" w14:textId="77777777" w:rsidR="00F00818" w:rsidRDefault="00F00818" w:rsidP="00F00818">
      <w:r>
        <w:t>As a result, sales in 2023 fell 18.6% from 2022, dropping to 16,586 units. Since then, the metropolitan market has remained at this lower level of activity, without a meaningful rebound in volume.</w:t>
      </w:r>
    </w:p>
    <w:p w14:paraId="300514EA" w14:textId="77777777" w:rsidR="00F00818" w:rsidRDefault="00F00818" w:rsidP="00F00818"/>
    <w:p w14:paraId="37A4EAED" w14:textId="77777777" w:rsidR="00F00818" w:rsidRDefault="00F00818" w:rsidP="00F00818">
      <w:r>
        <w:t>This stands in stark contrast to recent history. As recently as 2021, the market set a record with 23,827 sales. Compared to that peak, sales in 2025 were still 27.7% below record levels</w:t>
      </w:r>
      <w:r w:rsidR="00EA763F">
        <w:t>.</w:t>
      </w:r>
    </w:p>
    <w:p w14:paraId="56310050" w14:textId="26020C77" w:rsidR="00EA763F" w:rsidRDefault="00EA763F" w:rsidP="00F00818">
      <w:r>
        <w:t xml:space="preserve"> </w:t>
      </w:r>
    </w:p>
    <w:p w14:paraId="7BC89537" w14:textId="77777777" w:rsidR="00EA763F" w:rsidRDefault="00EA763F" w:rsidP="00F84C72"/>
    <w:tbl>
      <w:tblPr>
        <w:tblpPr w:leftFromText="288" w:rightFromText="72" w:bottomFromText="115" w:vertAnchor="text" w:horzAnchor="margin" w:tblpXSpec="right" w:tblpY="80"/>
        <w:tblW w:w="4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2"/>
        <w:gridCol w:w="963"/>
        <w:gridCol w:w="922"/>
        <w:gridCol w:w="993"/>
      </w:tblGrid>
      <w:tr w:rsidR="00001ECE" w:rsidRPr="00D42F01" w14:paraId="36CA35E8" w14:textId="77777777" w:rsidTr="00001ECE">
        <w:trPr>
          <w:trHeight w:val="360"/>
        </w:trPr>
        <w:tc>
          <w:tcPr>
            <w:tcW w:w="4330" w:type="dxa"/>
            <w:gridSpan w:val="4"/>
            <w:tcBorders>
              <w:top w:val="nil"/>
              <w:left w:val="nil"/>
              <w:bottom w:val="nil"/>
              <w:right w:val="nil"/>
            </w:tcBorders>
            <w:tcMar>
              <w:top w:w="0" w:type="dxa"/>
              <w:left w:w="108" w:type="dxa"/>
              <w:bottom w:w="0" w:type="dxa"/>
              <w:right w:w="108" w:type="dxa"/>
            </w:tcMar>
            <w:vAlign w:val="center"/>
            <w:hideMark/>
          </w:tcPr>
          <w:p w14:paraId="4F637D49" w14:textId="77777777" w:rsidR="00001ECE" w:rsidRPr="00D42F01" w:rsidRDefault="00001ECE" w:rsidP="00001ECE">
            <w:pPr>
              <w:spacing w:line="252" w:lineRule="auto"/>
              <w:ind w:left="-105" w:right="-90"/>
              <w:rPr>
                <w:rFonts w:ascii="Arial" w:hAnsi="Arial" w:cs="Arial"/>
                <w:b/>
                <w:sz w:val="20"/>
                <w:szCs w:val="20"/>
              </w:rPr>
            </w:pPr>
            <w:r w:rsidRPr="00D42F01">
              <w:rPr>
                <w:rFonts w:ascii="Arial" w:hAnsi="Arial" w:cs="Arial"/>
                <w:b/>
                <w:bCs/>
                <w:sz w:val="22"/>
              </w:rPr>
              <w:t>2</w:t>
            </w:r>
            <w:r>
              <w:rPr>
                <w:rFonts w:ascii="Arial" w:hAnsi="Arial" w:cs="Arial"/>
                <w:b/>
                <w:bCs/>
                <w:sz w:val="22"/>
              </w:rPr>
              <w:t xml:space="preserve">025 </w:t>
            </w:r>
            <w:r w:rsidRPr="00D42F01">
              <w:rPr>
                <w:rFonts w:ascii="Arial" w:hAnsi="Arial" w:cs="Arial"/>
                <w:b/>
                <w:sz w:val="22"/>
              </w:rPr>
              <w:t>Listings</w:t>
            </w:r>
            <w:r w:rsidRPr="00D42F01">
              <w:rPr>
                <w:rFonts w:ascii="Arial" w:eastAsia="Calibri" w:hAnsi="Arial" w:cs="Arial"/>
                <w:bCs/>
                <w:sz w:val="20"/>
                <w:szCs w:val="20"/>
              </w:rPr>
              <w:t xml:space="preserve"> </w:t>
            </w:r>
            <w:r w:rsidRPr="00D42F01">
              <w:rPr>
                <w:rFonts w:ascii="Arial" w:eastAsia="Calibri" w:hAnsi="Arial" w:cs="Arial"/>
                <w:bCs/>
                <w:sz w:val="18"/>
                <w:szCs w:val="18"/>
              </w:rPr>
              <w:t xml:space="preserve">(Jan 1 – </w:t>
            </w:r>
            <w:r>
              <w:rPr>
                <w:rFonts w:ascii="Arial" w:eastAsia="Calibri" w:hAnsi="Arial" w:cs="Arial"/>
                <w:bCs/>
                <w:sz w:val="18"/>
                <w:szCs w:val="18"/>
              </w:rPr>
              <w:t>Dec</w:t>
            </w:r>
            <w:r w:rsidRPr="00D42F01">
              <w:rPr>
                <w:rFonts w:ascii="Arial" w:eastAsia="Calibri" w:hAnsi="Arial" w:cs="Arial"/>
                <w:bCs/>
                <w:sz w:val="18"/>
                <w:szCs w:val="18"/>
              </w:rPr>
              <w:t xml:space="preserve"> 3</w:t>
            </w:r>
            <w:r>
              <w:rPr>
                <w:rFonts w:ascii="Arial" w:eastAsia="Calibri" w:hAnsi="Arial" w:cs="Arial"/>
                <w:bCs/>
                <w:sz w:val="18"/>
                <w:szCs w:val="18"/>
              </w:rPr>
              <w:t>1</w:t>
            </w:r>
            <w:r w:rsidRPr="00D42F01">
              <w:rPr>
                <w:rFonts w:ascii="Arial" w:eastAsia="Calibri" w:hAnsi="Arial" w:cs="Arial"/>
                <w:bCs/>
                <w:sz w:val="18"/>
                <w:szCs w:val="18"/>
              </w:rPr>
              <w:t>)</w:t>
            </w:r>
          </w:p>
        </w:tc>
      </w:tr>
      <w:tr w:rsidR="00001ECE" w:rsidRPr="00D42F01" w14:paraId="7661F411" w14:textId="77777777" w:rsidTr="00001ECE">
        <w:trPr>
          <w:trHeight w:val="288"/>
        </w:trPr>
        <w:tc>
          <w:tcPr>
            <w:tcW w:w="1452" w:type="dxa"/>
            <w:tcBorders>
              <w:top w:val="nil"/>
              <w:left w:val="nil"/>
              <w:bottom w:val="nil"/>
              <w:right w:val="single" w:sz="12" w:space="0" w:color="FFFFFF"/>
            </w:tcBorders>
            <w:shd w:val="clear" w:color="auto" w:fill="1F4E79"/>
            <w:vAlign w:val="center"/>
            <w:hideMark/>
          </w:tcPr>
          <w:p w14:paraId="0682DDB3" w14:textId="77777777" w:rsidR="00001ECE" w:rsidRPr="00D42F01" w:rsidRDefault="00001ECE" w:rsidP="00001ECE">
            <w:pPr>
              <w:ind w:left="175" w:right="100"/>
              <w:rPr>
                <w:rFonts w:ascii="Arial" w:hAnsi="Arial" w:cs="Arial"/>
                <w:bCs/>
                <w:color w:val="FFFFFF" w:themeColor="background1"/>
                <w:sz w:val="20"/>
                <w:szCs w:val="20"/>
              </w:rPr>
            </w:pPr>
            <w:r w:rsidRPr="00D42F01">
              <w:rPr>
                <w:rFonts w:ascii="Arial" w:hAnsi="Arial" w:cs="Arial"/>
                <w:bCs/>
                <w:color w:val="FFFFFF" w:themeColor="background1"/>
                <w:sz w:val="20"/>
                <w:szCs w:val="20"/>
              </w:rPr>
              <w:t>County</w:t>
            </w:r>
          </w:p>
        </w:tc>
        <w:tc>
          <w:tcPr>
            <w:tcW w:w="963" w:type="dxa"/>
            <w:tcBorders>
              <w:top w:val="nil"/>
              <w:left w:val="single" w:sz="12" w:space="0" w:color="FFFFFF"/>
              <w:bottom w:val="nil"/>
              <w:right w:val="single" w:sz="12" w:space="0" w:color="FFFFFF"/>
            </w:tcBorders>
            <w:shd w:val="clear" w:color="auto" w:fill="1F4E79"/>
            <w:tcMar>
              <w:top w:w="0" w:type="dxa"/>
              <w:left w:w="108" w:type="dxa"/>
              <w:bottom w:w="0" w:type="dxa"/>
              <w:right w:w="108" w:type="dxa"/>
            </w:tcMar>
            <w:vAlign w:val="center"/>
            <w:hideMark/>
          </w:tcPr>
          <w:p w14:paraId="657FDC64" w14:textId="77777777" w:rsidR="00001ECE" w:rsidRPr="00D42F01" w:rsidRDefault="00001ECE" w:rsidP="00001ECE">
            <w:pPr>
              <w:spacing w:line="207" w:lineRule="atLeast"/>
              <w:ind w:left="44" w:right="62"/>
              <w:jc w:val="center"/>
              <w:rPr>
                <w:rFonts w:ascii="Arial" w:hAnsi="Arial" w:cs="Arial"/>
                <w:color w:val="FFFFFF" w:themeColor="background1"/>
                <w:sz w:val="20"/>
                <w:szCs w:val="20"/>
              </w:rPr>
            </w:pPr>
            <w:r w:rsidRPr="00D42F01">
              <w:rPr>
                <w:rFonts w:ascii="Arial" w:hAnsi="Arial" w:cs="Arial"/>
                <w:color w:val="FFFFFF" w:themeColor="background1"/>
                <w:sz w:val="20"/>
                <w:szCs w:val="20"/>
              </w:rPr>
              <w:t>2024</w:t>
            </w:r>
          </w:p>
        </w:tc>
        <w:tc>
          <w:tcPr>
            <w:tcW w:w="922" w:type="dxa"/>
            <w:tcBorders>
              <w:top w:val="nil"/>
              <w:left w:val="single" w:sz="12" w:space="0" w:color="FFFFFF"/>
              <w:bottom w:val="nil"/>
              <w:right w:val="single" w:sz="12" w:space="0" w:color="FFFFFF"/>
            </w:tcBorders>
            <w:shd w:val="clear" w:color="auto" w:fill="1F4E79"/>
            <w:tcMar>
              <w:top w:w="0" w:type="dxa"/>
              <w:left w:w="108" w:type="dxa"/>
              <w:bottom w:w="0" w:type="dxa"/>
              <w:right w:w="108" w:type="dxa"/>
            </w:tcMar>
            <w:vAlign w:val="center"/>
            <w:hideMark/>
          </w:tcPr>
          <w:p w14:paraId="7536C34A" w14:textId="77777777" w:rsidR="00001ECE" w:rsidRPr="00D42F01" w:rsidRDefault="00001ECE" w:rsidP="00001ECE">
            <w:pPr>
              <w:spacing w:line="207" w:lineRule="atLeast"/>
              <w:ind w:right="-23"/>
              <w:jc w:val="center"/>
              <w:rPr>
                <w:rFonts w:ascii="Arial" w:hAnsi="Arial" w:cs="Arial"/>
                <w:color w:val="FFFFFF" w:themeColor="background1"/>
                <w:sz w:val="20"/>
                <w:szCs w:val="20"/>
              </w:rPr>
            </w:pPr>
            <w:r w:rsidRPr="00D42F01">
              <w:rPr>
                <w:rFonts w:ascii="Arial" w:hAnsi="Arial" w:cs="Arial"/>
                <w:color w:val="FFFFFF" w:themeColor="background1"/>
                <w:sz w:val="20"/>
                <w:szCs w:val="20"/>
              </w:rPr>
              <w:t>2025</w:t>
            </w:r>
          </w:p>
        </w:tc>
        <w:tc>
          <w:tcPr>
            <w:tcW w:w="993" w:type="dxa"/>
            <w:tcBorders>
              <w:top w:val="nil"/>
              <w:left w:val="single" w:sz="12" w:space="0" w:color="FFFFFF"/>
              <w:bottom w:val="nil"/>
              <w:right w:val="nil"/>
            </w:tcBorders>
            <w:shd w:val="clear" w:color="auto" w:fill="1F4E79"/>
            <w:vAlign w:val="center"/>
          </w:tcPr>
          <w:p w14:paraId="50EEDB5A" w14:textId="77777777" w:rsidR="00001ECE" w:rsidRPr="00D42F01" w:rsidRDefault="00001ECE" w:rsidP="00001ECE">
            <w:pPr>
              <w:ind w:right="15"/>
              <w:jc w:val="center"/>
              <w:rPr>
                <w:rFonts w:ascii="Arial" w:hAnsi="Arial" w:cs="Arial"/>
                <w:color w:val="FFFFFF" w:themeColor="background1"/>
                <w:sz w:val="20"/>
                <w:szCs w:val="20"/>
              </w:rPr>
            </w:pPr>
            <w:r w:rsidRPr="00DB59A4">
              <w:rPr>
                <w:rFonts w:ascii="Arial Narrow" w:hAnsi="Arial Narrow" w:cs="Arial"/>
                <w:color w:val="FFFFFF" w:themeColor="background1"/>
                <w:sz w:val="20"/>
                <w:szCs w:val="20"/>
              </w:rPr>
              <w:t>% Change</w:t>
            </w:r>
          </w:p>
        </w:tc>
      </w:tr>
      <w:tr w:rsidR="00001ECE" w:rsidRPr="00D42F01" w14:paraId="042AC4B1" w14:textId="77777777" w:rsidTr="00001ECE">
        <w:trPr>
          <w:trHeight w:val="288"/>
        </w:trPr>
        <w:tc>
          <w:tcPr>
            <w:tcW w:w="1452" w:type="dxa"/>
            <w:tcBorders>
              <w:top w:val="nil"/>
              <w:left w:val="nil"/>
              <w:bottom w:val="nil"/>
              <w:right w:val="nil"/>
            </w:tcBorders>
            <w:tcMar>
              <w:top w:w="0" w:type="dxa"/>
              <w:left w:w="108" w:type="dxa"/>
              <w:bottom w:w="0" w:type="dxa"/>
              <w:right w:w="108" w:type="dxa"/>
            </w:tcMar>
            <w:vAlign w:val="center"/>
            <w:hideMark/>
          </w:tcPr>
          <w:p w14:paraId="26DD315B" w14:textId="77777777" w:rsidR="00001ECE" w:rsidRPr="00D42F01" w:rsidRDefault="00001ECE" w:rsidP="00001ECE">
            <w:pPr>
              <w:spacing w:line="252" w:lineRule="auto"/>
              <w:ind w:left="62" w:right="100"/>
              <w:rPr>
                <w:rFonts w:ascii="Arial" w:hAnsi="Arial" w:cs="Arial"/>
                <w:sz w:val="20"/>
                <w:szCs w:val="20"/>
              </w:rPr>
            </w:pPr>
            <w:r w:rsidRPr="00D42F01">
              <w:rPr>
                <w:rFonts w:ascii="Arial" w:hAnsi="Arial" w:cs="Arial"/>
                <w:sz w:val="20"/>
                <w:szCs w:val="20"/>
              </w:rPr>
              <w:t>Milwaukee</w:t>
            </w:r>
          </w:p>
        </w:tc>
        <w:tc>
          <w:tcPr>
            <w:tcW w:w="963" w:type="dxa"/>
            <w:tcBorders>
              <w:top w:val="nil"/>
              <w:left w:val="nil"/>
              <w:bottom w:val="nil"/>
              <w:right w:val="nil"/>
            </w:tcBorders>
            <w:tcMar>
              <w:top w:w="0" w:type="dxa"/>
              <w:left w:w="108" w:type="dxa"/>
              <w:bottom w:w="0" w:type="dxa"/>
              <w:right w:w="108" w:type="dxa"/>
            </w:tcMar>
            <w:vAlign w:val="center"/>
          </w:tcPr>
          <w:p w14:paraId="0EBB293B" w14:textId="77777777" w:rsidR="00001ECE" w:rsidRPr="00620A04" w:rsidRDefault="00001ECE" w:rsidP="00001ECE">
            <w:pPr>
              <w:spacing w:line="252" w:lineRule="auto"/>
              <w:ind w:left="44" w:right="62"/>
              <w:jc w:val="right"/>
              <w:rPr>
                <w:rFonts w:ascii="Arial" w:hAnsi="Arial" w:cs="Arial"/>
                <w:sz w:val="20"/>
                <w:szCs w:val="20"/>
              </w:rPr>
            </w:pPr>
            <w:r w:rsidRPr="00620A04">
              <w:rPr>
                <w:rFonts w:ascii="Arial" w:hAnsi="Arial" w:cs="Arial"/>
                <w:sz w:val="20"/>
                <w:szCs w:val="20"/>
              </w:rPr>
              <w:t xml:space="preserve">12,407 </w:t>
            </w:r>
          </w:p>
        </w:tc>
        <w:tc>
          <w:tcPr>
            <w:tcW w:w="922" w:type="dxa"/>
            <w:tcBorders>
              <w:top w:val="nil"/>
              <w:left w:val="nil"/>
              <w:bottom w:val="nil"/>
              <w:right w:val="nil"/>
            </w:tcBorders>
            <w:tcMar>
              <w:top w:w="0" w:type="dxa"/>
              <w:left w:w="108" w:type="dxa"/>
              <w:bottom w:w="0" w:type="dxa"/>
              <w:right w:w="108" w:type="dxa"/>
            </w:tcMar>
            <w:vAlign w:val="center"/>
          </w:tcPr>
          <w:p w14:paraId="3D29869D" w14:textId="77777777" w:rsidR="00001ECE" w:rsidRPr="00620A04" w:rsidRDefault="00001ECE" w:rsidP="00001ECE">
            <w:pPr>
              <w:spacing w:line="252" w:lineRule="auto"/>
              <w:ind w:right="-10"/>
              <w:jc w:val="right"/>
              <w:rPr>
                <w:rFonts w:ascii="Arial" w:hAnsi="Arial" w:cs="Arial"/>
                <w:sz w:val="20"/>
                <w:szCs w:val="20"/>
              </w:rPr>
            </w:pPr>
            <w:r w:rsidRPr="00620A04">
              <w:rPr>
                <w:rFonts w:ascii="Arial" w:hAnsi="Arial" w:cs="Arial"/>
                <w:sz w:val="20"/>
                <w:szCs w:val="20"/>
              </w:rPr>
              <w:t xml:space="preserve"> 12,663 </w:t>
            </w:r>
          </w:p>
        </w:tc>
        <w:tc>
          <w:tcPr>
            <w:tcW w:w="993" w:type="dxa"/>
            <w:tcBorders>
              <w:top w:val="nil"/>
              <w:left w:val="nil"/>
              <w:bottom w:val="nil"/>
              <w:right w:val="nil"/>
            </w:tcBorders>
            <w:vAlign w:val="center"/>
          </w:tcPr>
          <w:p w14:paraId="7D1E0821" w14:textId="77777777" w:rsidR="00001ECE" w:rsidRPr="00620A04" w:rsidRDefault="00001ECE" w:rsidP="00001ECE">
            <w:pPr>
              <w:spacing w:line="252" w:lineRule="auto"/>
              <w:ind w:right="195"/>
              <w:jc w:val="right"/>
              <w:rPr>
                <w:rFonts w:ascii="Arial" w:hAnsi="Arial" w:cs="Arial"/>
                <w:sz w:val="20"/>
                <w:szCs w:val="20"/>
              </w:rPr>
            </w:pPr>
            <w:r w:rsidRPr="00620A04">
              <w:rPr>
                <w:rFonts w:ascii="Arial" w:hAnsi="Arial" w:cs="Arial"/>
                <w:sz w:val="20"/>
                <w:szCs w:val="20"/>
              </w:rPr>
              <w:t>2.1%</w:t>
            </w:r>
          </w:p>
        </w:tc>
      </w:tr>
      <w:tr w:rsidR="00001ECE" w:rsidRPr="00D42F01" w14:paraId="2179C201" w14:textId="77777777" w:rsidTr="00001ECE">
        <w:trPr>
          <w:trHeight w:val="288"/>
        </w:trPr>
        <w:tc>
          <w:tcPr>
            <w:tcW w:w="1452" w:type="dxa"/>
            <w:tcBorders>
              <w:top w:val="nil"/>
              <w:left w:val="nil"/>
              <w:bottom w:val="nil"/>
              <w:right w:val="nil"/>
            </w:tcBorders>
            <w:shd w:val="clear" w:color="auto" w:fill="D5DCE4" w:themeFill="text2" w:themeFillTint="33"/>
            <w:tcMar>
              <w:top w:w="0" w:type="dxa"/>
              <w:left w:w="108" w:type="dxa"/>
              <w:bottom w:w="0" w:type="dxa"/>
              <w:right w:w="108" w:type="dxa"/>
            </w:tcMar>
            <w:vAlign w:val="center"/>
            <w:hideMark/>
          </w:tcPr>
          <w:p w14:paraId="77C86096" w14:textId="77777777" w:rsidR="00001ECE" w:rsidRPr="00D42F01" w:rsidRDefault="00001ECE" w:rsidP="00001ECE">
            <w:pPr>
              <w:spacing w:line="252" w:lineRule="auto"/>
              <w:ind w:left="62" w:right="100"/>
              <w:rPr>
                <w:rFonts w:ascii="Arial" w:hAnsi="Arial" w:cs="Arial"/>
                <w:sz w:val="20"/>
                <w:szCs w:val="20"/>
              </w:rPr>
            </w:pPr>
            <w:r w:rsidRPr="00D42F01">
              <w:rPr>
                <w:rFonts w:ascii="Arial" w:hAnsi="Arial" w:cs="Arial"/>
                <w:sz w:val="20"/>
                <w:szCs w:val="20"/>
              </w:rPr>
              <w:t>Waukesha</w:t>
            </w:r>
          </w:p>
        </w:tc>
        <w:tc>
          <w:tcPr>
            <w:tcW w:w="963" w:type="dxa"/>
            <w:tcBorders>
              <w:top w:val="nil"/>
              <w:left w:val="nil"/>
              <w:bottom w:val="nil"/>
              <w:right w:val="nil"/>
            </w:tcBorders>
            <w:shd w:val="clear" w:color="auto" w:fill="D5DCE4" w:themeFill="text2" w:themeFillTint="33"/>
            <w:tcMar>
              <w:top w:w="0" w:type="dxa"/>
              <w:left w:w="108" w:type="dxa"/>
              <w:bottom w:w="0" w:type="dxa"/>
              <w:right w:w="108" w:type="dxa"/>
            </w:tcMar>
            <w:vAlign w:val="center"/>
          </w:tcPr>
          <w:p w14:paraId="5D2E53BA" w14:textId="77777777" w:rsidR="00001ECE" w:rsidRPr="00620A04" w:rsidRDefault="00001ECE" w:rsidP="00001ECE">
            <w:pPr>
              <w:spacing w:line="252" w:lineRule="auto"/>
              <w:ind w:left="44" w:right="62"/>
              <w:jc w:val="right"/>
              <w:rPr>
                <w:rFonts w:ascii="Arial" w:hAnsi="Arial" w:cs="Arial"/>
                <w:sz w:val="20"/>
                <w:szCs w:val="20"/>
              </w:rPr>
            </w:pPr>
            <w:r w:rsidRPr="00620A04">
              <w:rPr>
                <w:rFonts w:ascii="Arial" w:hAnsi="Arial" w:cs="Arial"/>
                <w:sz w:val="20"/>
                <w:szCs w:val="20"/>
              </w:rPr>
              <w:t xml:space="preserve"> 5,585 </w:t>
            </w:r>
          </w:p>
        </w:tc>
        <w:tc>
          <w:tcPr>
            <w:tcW w:w="922" w:type="dxa"/>
            <w:tcBorders>
              <w:top w:val="nil"/>
              <w:left w:val="nil"/>
              <w:bottom w:val="nil"/>
              <w:right w:val="nil"/>
            </w:tcBorders>
            <w:shd w:val="clear" w:color="auto" w:fill="D5DCE4" w:themeFill="text2" w:themeFillTint="33"/>
            <w:tcMar>
              <w:top w:w="0" w:type="dxa"/>
              <w:left w:w="108" w:type="dxa"/>
              <w:bottom w:w="0" w:type="dxa"/>
              <w:right w:w="108" w:type="dxa"/>
            </w:tcMar>
            <w:vAlign w:val="center"/>
          </w:tcPr>
          <w:p w14:paraId="554EDC83" w14:textId="77777777" w:rsidR="00001ECE" w:rsidRPr="00620A04" w:rsidRDefault="00001ECE" w:rsidP="00001ECE">
            <w:pPr>
              <w:spacing w:line="252" w:lineRule="auto"/>
              <w:ind w:right="-10"/>
              <w:jc w:val="right"/>
              <w:rPr>
                <w:rFonts w:ascii="Arial" w:hAnsi="Arial" w:cs="Arial"/>
                <w:sz w:val="20"/>
                <w:szCs w:val="20"/>
              </w:rPr>
            </w:pPr>
            <w:r w:rsidRPr="00620A04">
              <w:rPr>
                <w:rFonts w:ascii="Arial" w:hAnsi="Arial" w:cs="Arial"/>
                <w:sz w:val="20"/>
                <w:szCs w:val="20"/>
              </w:rPr>
              <w:t xml:space="preserve"> 5,844 </w:t>
            </w:r>
          </w:p>
        </w:tc>
        <w:tc>
          <w:tcPr>
            <w:tcW w:w="993" w:type="dxa"/>
            <w:tcBorders>
              <w:top w:val="nil"/>
              <w:left w:val="nil"/>
              <w:bottom w:val="nil"/>
              <w:right w:val="nil"/>
            </w:tcBorders>
            <w:shd w:val="clear" w:color="auto" w:fill="D5DCE4" w:themeFill="text2" w:themeFillTint="33"/>
            <w:vAlign w:val="center"/>
          </w:tcPr>
          <w:p w14:paraId="4D6E748A" w14:textId="77777777" w:rsidR="00001ECE" w:rsidRPr="00620A04" w:rsidRDefault="00001ECE" w:rsidP="00001ECE">
            <w:pPr>
              <w:spacing w:line="252" w:lineRule="auto"/>
              <w:ind w:right="195"/>
              <w:jc w:val="right"/>
              <w:rPr>
                <w:rFonts w:ascii="Arial" w:hAnsi="Arial" w:cs="Arial"/>
                <w:sz w:val="20"/>
                <w:szCs w:val="20"/>
              </w:rPr>
            </w:pPr>
            <w:r w:rsidRPr="00620A04">
              <w:rPr>
                <w:rFonts w:ascii="Arial" w:hAnsi="Arial" w:cs="Arial"/>
                <w:sz w:val="20"/>
                <w:szCs w:val="20"/>
              </w:rPr>
              <w:t>4.6%</w:t>
            </w:r>
          </w:p>
        </w:tc>
      </w:tr>
      <w:tr w:rsidR="00001ECE" w:rsidRPr="00D42F01" w14:paraId="76F9DD04" w14:textId="77777777" w:rsidTr="00001ECE">
        <w:trPr>
          <w:trHeight w:val="288"/>
        </w:trPr>
        <w:tc>
          <w:tcPr>
            <w:tcW w:w="1452" w:type="dxa"/>
            <w:tcBorders>
              <w:top w:val="nil"/>
              <w:left w:val="nil"/>
              <w:bottom w:val="nil"/>
              <w:right w:val="nil"/>
            </w:tcBorders>
            <w:tcMar>
              <w:top w:w="0" w:type="dxa"/>
              <w:left w:w="108" w:type="dxa"/>
              <w:bottom w:w="0" w:type="dxa"/>
              <w:right w:w="108" w:type="dxa"/>
            </w:tcMar>
            <w:vAlign w:val="center"/>
            <w:hideMark/>
          </w:tcPr>
          <w:p w14:paraId="57145B1B" w14:textId="77777777" w:rsidR="00001ECE" w:rsidRPr="00D42F01" w:rsidRDefault="00001ECE" w:rsidP="00001ECE">
            <w:pPr>
              <w:spacing w:line="252" w:lineRule="auto"/>
              <w:ind w:left="62" w:right="100"/>
              <w:rPr>
                <w:rFonts w:ascii="Arial" w:hAnsi="Arial" w:cs="Arial"/>
                <w:sz w:val="20"/>
                <w:szCs w:val="20"/>
              </w:rPr>
            </w:pPr>
            <w:r w:rsidRPr="00D42F01">
              <w:rPr>
                <w:rFonts w:ascii="Arial" w:hAnsi="Arial" w:cs="Arial"/>
                <w:sz w:val="20"/>
                <w:szCs w:val="20"/>
              </w:rPr>
              <w:t>Ozaukee</w:t>
            </w:r>
          </w:p>
        </w:tc>
        <w:tc>
          <w:tcPr>
            <w:tcW w:w="963" w:type="dxa"/>
            <w:tcBorders>
              <w:top w:val="nil"/>
              <w:left w:val="nil"/>
              <w:bottom w:val="nil"/>
              <w:right w:val="nil"/>
            </w:tcBorders>
            <w:tcMar>
              <w:top w:w="0" w:type="dxa"/>
              <w:left w:w="108" w:type="dxa"/>
              <w:bottom w:w="0" w:type="dxa"/>
              <w:right w:w="108" w:type="dxa"/>
            </w:tcMar>
            <w:vAlign w:val="center"/>
          </w:tcPr>
          <w:p w14:paraId="42F8043C" w14:textId="77777777" w:rsidR="00001ECE" w:rsidRPr="00620A04" w:rsidRDefault="00001ECE" w:rsidP="00001ECE">
            <w:pPr>
              <w:spacing w:line="252" w:lineRule="auto"/>
              <w:ind w:left="44" w:right="62"/>
              <w:jc w:val="right"/>
              <w:rPr>
                <w:rFonts w:ascii="Arial" w:hAnsi="Arial" w:cs="Arial"/>
                <w:sz w:val="20"/>
                <w:szCs w:val="20"/>
              </w:rPr>
            </w:pPr>
            <w:r w:rsidRPr="00620A04">
              <w:rPr>
                <w:rFonts w:ascii="Arial" w:hAnsi="Arial" w:cs="Arial"/>
                <w:sz w:val="20"/>
                <w:szCs w:val="20"/>
              </w:rPr>
              <w:t xml:space="preserve"> 1,294 </w:t>
            </w:r>
          </w:p>
        </w:tc>
        <w:tc>
          <w:tcPr>
            <w:tcW w:w="922" w:type="dxa"/>
            <w:tcBorders>
              <w:top w:val="nil"/>
              <w:left w:val="nil"/>
              <w:bottom w:val="nil"/>
              <w:right w:val="nil"/>
            </w:tcBorders>
            <w:tcMar>
              <w:top w:w="0" w:type="dxa"/>
              <w:left w:w="108" w:type="dxa"/>
              <w:bottom w:w="0" w:type="dxa"/>
              <w:right w:w="108" w:type="dxa"/>
            </w:tcMar>
            <w:vAlign w:val="center"/>
          </w:tcPr>
          <w:p w14:paraId="3FC73B14" w14:textId="77777777" w:rsidR="00001ECE" w:rsidRPr="00620A04" w:rsidRDefault="00001ECE" w:rsidP="00001ECE">
            <w:pPr>
              <w:spacing w:line="252" w:lineRule="auto"/>
              <w:ind w:right="-10"/>
              <w:jc w:val="right"/>
              <w:rPr>
                <w:rFonts w:ascii="Arial" w:hAnsi="Arial" w:cs="Arial"/>
                <w:sz w:val="20"/>
                <w:szCs w:val="20"/>
              </w:rPr>
            </w:pPr>
            <w:r w:rsidRPr="00620A04">
              <w:rPr>
                <w:rFonts w:ascii="Arial" w:hAnsi="Arial" w:cs="Arial"/>
                <w:sz w:val="20"/>
                <w:szCs w:val="20"/>
              </w:rPr>
              <w:t xml:space="preserve"> 1,347 </w:t>
            </w:r>
          </w:p>
        </w:tc>
        <w:tc>
          <w:tcPr>
            <w:tcW w:w="993" w:type="dxa"/>
            <w:tcBorders>
              <w:top w:val="nil"/>
              <w:left w:val="nil"/>
              <w:bottom w:val="nil"/>
              <w:right w:val="nil"/>
            </w:tcBorders>
            <w:vAlign w:val="center"/>
          </w:tcPr>
          <w:p w14:paraId="59323A77" w14:textId="77777777" w:rsidR="00001ECE" w:rsidRPr="00620A04" w:rsidRDefault="00001ECE" w:rsidP="00001ECE">
            <w:pPr>
              <w:spacing w:line="252" w:lineRule="auto"/>
              <w:ind w:right="195"/>
              <w:jc w:val="right"/>
              <w:rPr>
                <w:rFonts w:ascii="Arial" w:hAnsi="Arial" w:cs="Arial"/>
                <w:sz w:val="20"/>
                <w:szCs w:val="20"/>
              </w:rPr>
            </w:pPr>
            <w:r w:rsidRPr="00620A04">
              <w:rPr>
                <w:rFonts w:ascii="Arial" w:hAnsi="Arial" w:cs="Arial"/>
                <w:sz w:val="20"/>
                <w:szCs w:val="20"/>
              </w:rPr>
              <w:t>4.1%</w:t>
            </w:r>
          </w:p>
        </w:tc>
      </w:tr>
      <w:tr w:rsidR="00001ECE" w:rsidRPr="00D42F01" w14:paraId="38E4B6FA" w14:textId="77777777" w:rsidTr="00001ECE">
        <w:trPr>
          <w:trHeight w:val="288"/>
        </w:trPr>
        <w:tc>
          <w:tcPr>
            <w:tcW w:w="1452" w:type="dxa"/>
            <w:tcBorders>
              <w:top w:val="nil"/>
              <w:left w:val="nil"/>
              <w:bottom w:val="single" w:sz="4" w:space="0" w:color="auto"/>
              <w:right w:val="nil"/>
            </w:tcBorders>
            <w:shd w:val="clear" w:color="auto" w:fill="D5DCE4" w:themeFill="text2" w:themeFillTint="33"/>
            <w:tcMar>
              <w:top w:w="0" w:type="dxa"/>
              <w:left w:w="108" w:type="dxa"/>
              <w:bottom w:w="0" w:type="dxa"/>
              <w:right w:w="108" w:type="dxa"/>
            </w:tcMar>
            <w:vAlign w:val="center"/>
            <w:hideMark/>
          </w:tcPr>
          <w:p w14:paraId="6AA0D0F8" w14:textId="77777777" w:rsidR="00001ECE" w:rsidRPr="00D42F01" w:rsidRDefault="00001ECE" w:rsidP="00001ECE">
            <w:pPr>
              <w:spacing w:line="252" w:lineRule="auto"/>
              <w:ind w:left="62" w:right="100"/>
              <w:rPr>
                <w:rFonts w:ascii="Arial" w:hAnsi="Arial" w:cs="Arial"/>
                <w:sz w:val="20"/>
                <w:szCs w:val="20"/>
              </w:rPr>
            </w:pPr>
            <w:r w:rsidRPr="00D42F01">
              <w:rPr>
                <w:rFonts w:ascii="Arial" w:hAnsi="Arial" w:cs="Arial"/>
                <w:sz w:val="20"/>
                <w:szCs w:val="20"/>
              </w:rPr>
              <w:t>Washington</w:t>
            </w:r>
          </w:p>
        </w:tc>
        <w:tc>
          <w:tcPr>
            <w:tcW w:w="963" w:type="dxa"/>
            <w:tcBorders>
              <w:top w:val="nil"/>
              <w:left w:val="nil"/>
              <w:bottom w:val="single" w:sz="4" w:space="0" w:color="auto"/>
              <w:right w:val="nil"/>
            </w:tcBorders>
            <w:shd w:val="clear" w:color="auto" w:fill="D5DCE4" w:themeFill="text2" w:themeFillTint="33"/>
            <w:tcMar>
              <w:top w:w="0" w:type="dxa"/>
              <w:left w:w="108" w:type="dxa"/>
              <w:bottom w:w="0" w:type="dxa"/>
              <w:right w:w="108" w:type="dxa"/>
            </w:tcMar>
            <w:vAlign w:val="center"/>
          </w:tcPr>
          <w:p w14:paraId="367DB74D" w14:textId="77777777" w:rsidR="00001ECE" w:rsidRPr="00620A04" w:rsidRDefault="00001ECE" w:rsidP="00001ECE">
            <w:pPr>
              <w:spacing w:line="252" w:lineRule="auto"/>
              <w:ind w:left="44" w:right="62"/>
              <w:jc w:val="right"/>
              <w:rPr>
                <w:rFonts w:ascii="Arial" w:hAnsi="Arial" w:cs="Arial"/>
                <w:sz w:val="20"/>
                <w:szCs w:val="20"/>
              </w:rPr>
            </w:pPr>
            <w:r w:rsidRPr="00620A04">
              <w:rPr>
                <w:rFonts w:ascii="Arial" w:hAnsi="Arial" w:cs="Arial"/>
                <w:sz w:val="20"/>
                <w:szCs w:val="20"/>
              </w:rPr>
              <w:t xml:space="preserve"> 2,011 </w:t>
            </w:r>
          </w:p>
        </w:tc>
        <w:tc>
          <w:tcPr>
            <w:tcW w:w="922" w:type="dxa"/>
            <w:tcBorders>
              <w:top w:val="nil"/>
              <w:left w:val="nil"/>
              <w:bottom w:val="single" w:sz="4" w:space="0" w:color="auto"/>
              <w:right w:val="nil"/>
            </w:tcBorders>
            <w:shd w:val="clear" w:color="auto" w:fill="D5DCE4" w:themeFill="text2" w:themeFillTint="33"/>
            <w:tcMar>
              <w:top w:w="0" w:type="dxa"/>
              <w:left w:w="108" w:type="dxa"/>
              <w:bottom w:w="0" w:type="dxa"/>
              <w:right w:w="108" w:type="dxa"/>
            </w:tcMar>
            <w:vAlign w:val="center"/>
          </w:tcPr>
          <w:p w14:paraId="0FEDCC75" w14:textId="77777777" w:rsidR="00001ECE" w:rsidRPr="00620A04" w:rsidRDefault="00001ECE" w:rsidP="00001ECE">
            <w:pPr>
              <w:spacing w:line="252" w:lineRule="auto"/>
              <w:ind w:right="-10"/>
              <w:jc w:val="right"/>
              <w:rPr>
                <w:rFonts w:ascii="Arial" w:hAnsi="Arial" w:cs="Arial"/>
                <w:sz w:val="20"/>
                <w:szCs w:val="20"/>
              </w:rPr>
            </w:pPr>
            <w:r w:rsidRPr="00620A04">
              <w:rPr>
                <w:rFonts w:ascii="Arial" w:hAnsi="Arial" w:cs="Arial"/>
                <w:sz w:val="20"/>
                <w:szCs w:val="20"/>
              </w:rPr>
              <w:t xml:space="preserve"> 2,088 </w:t>
            </w:r>
          </w:p>
        </w:tc>
        <w:tc>
          <w:tcPr>
            <w:tcW w:w="993" w:type="dxa"/>
            <w:tcBorders>
              <w:top w:val="nil"/>
              <w:left w:val="nil"/>
              <w:bottom w:val="nil"/>
              <w:right w:val="nil"/>
            </w:tcBorders>
            <w:shd w:val="clear" w:color="auto" w:fill="D5DCE4" w:themeFill="text2" w:themeFillTint="33"/>
            <w:vAlign w:val="center"/>
          </w:tcPr>
          <w:p w14:paraId="30C962EC" w14:textId="77777777" w:rsidR="00001ECE" w:rsidRPr="00620A04" w:rsidRDefault="00001ECE" w:rsidP="00001ECE">
            <w:pPr>
              <w:spacing w:line="252" w:lineRule="auto"/>
              <w:ind w:right="195"/>
              <w:jc w:val="right"/>
              <w:rPr>
                <w:rFonts w:ascii="Arial" w:hAnsi="Arial" w:cs="Arial"/>
                <w:sz w:val="20"/>
                <w:szCs w:val="20"/>
              </w:rPr>
            </w:pPr>
            <w:r w:rsidRPr="00620A04">
              <w:rPr>
                <w:rFonts w:ascii="Arial" w:hAnsi="Arial" w:cs="Arial"/>
                <w:sz w:val="20"/>
                <w:szCs w:val="20"/>
              </w:rPr>
              <w:t>3.8%</w:t>
            </w:r>
          </w:p>
        </w:tc>
      </w:tr>
      <w:tr w:rsidR="00001ECE" w:rsidRPr="00D42F01" w14:paraId="7235264E" w14:textId="77777777" w:rsidTr="00001ECE">
        <w:trPr>
          <w:trHeight w:val="288"/>
        </w:trPr>
        <w:tc>
          <w:tcPr>
            <w:tcW w:w="1452" w:type="dxa"/>
            <w:tcBorders>
              <w:top w:val="single" w:sz="4" w:space="0" w:color="auto"/>
              <w:left w:val="nil"/>
              <w:bottom w:val="nil"/>
              <w:right w:val="nil"/>
            </w:tcBorders>
            <w:tcMar>
              <w:top w:w="0" w:type="dxa"/>
              <w:left w:w="108" w:type="dxa"/>
              <w:bottom w:w="0" w:type="dxa"/>
              <w:right w:w="108" w:type="dxa"/>
            </w:tcMar>
            <w:vAlign w:val="center"/>
            <w:hideMark/>
          </w:tcPr>
          <w:p w14:paraId="394C53FC" w14:textId="77777777" w:rsidR="00001ECE" w:rsidRPr="00D42F01" w:rsidRDefault="00001ECE" w:rsidP="00001ECE">
            <w:pPr>
              <w:spacing w:line="252" w:lineRule="auto"/>
              <w:ind w:left="62" w:right="100"/>
              <w:rPr>
                <w:rFonts w:ascii="Arial" w:hAnsi="Arial" w:cs="Arial"/>
                <w:sz w:val="20"/>
                <w:szCs w:val="20"/>
              </w:rPr>
            </w:pPr>
            <w:r w:rsidRPr="00D42F01">
              <w:rPr>
                <w:rFonts w:ascii="Arial" w:hAnsi="Arial" w:cs="Arial"/>
                <w:sz w:val="20"/>
                <w:szCs w:val="20"/>
              </w:rPr>
              <w:t>Metro Area</w:t>
            </w:r>
          </w:p>
        </w:tc>
        <w:tc>
          <w:tcPr>
            <w:tcW w:w="963" w:type="dxa"/>
            <w:tcBorders>
              <w:top w:val="single" w:sz="4" w:space="0" w:color="auto"/>
              <w:left w:val="nil"/>
              <w:bottom w:val="nil"/>
              <w:right w:val="nil"/>
            </w:tcBorders>
            <w:tcMar>
              <w:top w:w="0" w:type="dxa"/>
              <w:left w:w="108" w:type="dxa"/>
              <w:bottom w:w="0" w:type="dxa"/>
              <w:right w:w="108" w:type="dxa"/>
            </w:tcMar>
            <w:vAlign w:val="center"/>
          </w:tcPr>
          <w:p w14:paraId="403EC91B" w14:textId="77777777" w:rsidR="00001ECE" w:rsidRPr="00620A04" w:rsidRDefault="00001ECE" w:rsidP="00001ECE">
            <w:pPr>
              <w:spacing w:line="252" w:lineRule="auto"/>
              <w:ind w:left="44" w:right="62"/>
              <w:jc w:val="right"/>
              <w:rPr>
                <w:rFonts w:ascii="Arial" w:hAnsi="Arial" w:cs="Arial"/>
                <w:sz w:val="20"/>
                <w:szCs w:val="20"/>
              </w:rPr>
            </w:pPr>
            <w:r w:rsidRPr="00620A04">
              <w:rPr>
                <w:rFonts w:ascii="Arial" w:hAnsi="Arial" w:cs="Arial"/>
                <w:sz w:val="20"/>
                <w:szCs w:val="20"/>
              </w:rPr>
              <w:t xml:space="preserve">21,297 </w:t>
            </w:r>
          </w:p>
        </w:tc>
        <w:tc>
          <w:tcPr>
            <w:tcW w:w="922" w:type="dxa"/>
            <w:tcBorders>
              <w:top w:val="single" w:sz="4" w:space="0" w:color="auto"/>
              <w:left w:val="nil"/>
              <w:bottom w:val="nil"/>
              <w:right w:val="nil"/>
            </w:tcBorders>
            <w:tcMar>
              <w:top w:w="0" w:type="dxa"/>
              <w:left w:w="108" w:type="dxa"/>
              <w:bottom w:w="0" w:type="dxa"/>
              <w:right w:w="108" w:type="dxa"/>
            </w:tcMar>
            <w:vAlign w:val="center"/>
          </w:tcPr>
          <w:p w14:paraId="43B5F37D" w14:textId="77777777" w:rsidR="00001ECE" w:rsidRPr="00620A04" w:rsidRDefault="00001ECE" w:rsidP="00001ECE">
            <w:pPr>
              <w:spacing w:line="252" w:lineRule="auto"/>
              <w:ind w:right="-10"/>
              <w:jc w:val="right"/>
              <w:rPr>
                <w:rFonts w:ascii="Arial" w:hAnsi="Arial" w:cs="Arial"/>
                <w:sz w:val="20"/>
                <w:szCs w:val="20"/>
              </w:rPr>
            </w:pPr>
            <w:r w:rsidRPr="00620A04">
              <w:rPr>
                <w:rFonts w:ascii="Arial" w:hAnsi="Arial" w:cs="Arial"/>
                <w:sz w:val="20"/>
                <w:szCs w:val="20"/>
              </w:rPr>
              <w:t xml:space="preserve"> 21,942 </w:t>
            </w:r>
          </w:p>
        </w:tc>
        <w:tc>
          <w:tcPr>
            <w:tcW w:w="993" w:type="dxa"/>
            <w:tcBorders>
              <w:top w:val="nil"/>
              <w:left w:val="nil"/>
              <w:bottom w:val="nil"/>
              <w:right w:val="nil"/>
            </w:tcBorders>
            <w:vAlign w:val="center"/>
          </w:tcPr>
          <w:p w14:paraId="364AE4B8" w14:textId="77777777" w:rsidR="00001ECE" w:rsidRPr="00620A04" w:rsidRDefault="00001ECE" w:rsidP="00001ECE">
            <w:pPr>
              <w:spacing w:line="252" w:lineRule="auto"/>
              <w:ind w:right="195"/>
              <w:jc w:val="right"/>
              <w:rPr>
                <w:rFonts w:ascii="Arial" w:hAnsi="Arial" w:cs="Arial"/>
                <w:sz w:val="20"/>
                <w:szCs w:val="20"/>
              </w:rPr>
            </w:pPr>
            <w:r w:rsidRPr="00620A04">
              <w:rPr>
                <w:rFonts w:ascii="Arial" w:hAnsi="Arial" w:cs="Arial"/>
                <w:sz w:val="20"/>
                <w:szCs w:val="20"/>
              </w:rPr>
              <w:t>3.0%</w:t>
            </w:r>
          </w:p>
        </w:tc>
      </w:tr>
      <w:tr w:rsidR="00001ECE" w:rsidRPr="00D42F01" w14:paraId="5F24EFE9" w14:textId="77777777" w:rsidTr="00001ECE">
        <w:trPr>
          <w:trHeight w:val="80"/>
        </w:trPr>
        <w:tc>
          <w:tcPr>
            <w:tcW w:w="4330" w:type="dxa"/>
            <w:gridSpan w:val="4"/>
            <w:tcBorders>
              <w:top w:val="nil"/>
              <w:left w:val="nil"/>
              <w:bottom w:val="nil"/>
              <w:right w:val="nil"/>
            </w:tcBorders>
            <w:shd w:val="clear" w:color="auto" w:fill="D5DCE4" w:themeFill="text2" w:themeFillTint="33"/>
            <w:tcMar>
              <w:top w:w="0" w:type="dxa"/>
              <w:left w:w="108" w:type="dxa"/>
              <w:bottom w:w="0" w:type="dxa"/>
              <w:right w:w="108" w:type="dxa"/>
            </w:tcMar>
            <w:vAlign w:val="center"/>
          </w:tcPr>
          <w:p w14:paraId="7C0B78C4" w14:textId="77777777" w:rsidR="00001ECE" w:rsidRPr="00620A04" w:rsidRDefault="00001ECE" w:rsidP="00001ECE">
            <w:pPr>
              <w:spacing w:line="252" w:lineRule="auto"/>
              <w:ind w:right="195"/>
              <w:jc w:val="right"/>
              <w:rPr>
                <w:rFonts w:ascii="Arial" w:hAnsi="Arial" w:cs="Arial"/>
                <w:sz w:val="10"/>
                <w:szCs w:val="10"/>
              </w:rPr>
            </w:pPr>
          </w:p>
        </w:tc>
      </w:tr>
      <w:tr w:rsidR="00001ECE" w:rsidRPr="00D42F01" w14:paraId="67A41503" w14:textId="77777777" w:rsidTr="00001ECE">
        <w:trPr>
          <w:trHeight w:val="288"/>
        </w:trPr>
        <w:tc>
          <w:tcPr>
            <w:tcW w:w="1452" w:type="dxa"/>
            <w:tcBorders>
              <w:top w:val="nil"/>
              <w:left w:val="nil"/>
              <w:bottom w:val="nil"/>
              <w:right w:val="nil"/>
            </w:tcBorders>
            <w:tcMar>
              <w:top w:w="0" w:type="dxa"/>
              <w:left w:w="108" w:type="dxa"/>
              <w:bottom w:w="0" w:type="dxa"/>
              <w:right w:w="108" w:type="dxa"/>
            </w:tcMar>
            <w:vAlign w:val="center"/>
          </w:tcPr>
          <w:p w14:paraId="2714AF76" w14:textId="77777777" w:rsidR="00001ECE" w:rsidRPr="00D42F01" w:rsidRDefault="00001ECE" w:rsidP="00001ECE">
            <w:pPr>
              <w:spacing w:line="252" w:lineRule="auto"/>
              <w:ind w:left="62" w:right="100"/>
              <w:rPr>
                <w:rFonts w:ascii="Arial" w:hAnsi="Arial" w:cs="Arial"/>
                <w:sz w:val="20"/>
                <w:szCs w:val="20"/>
              </w:rPr>
            </w:pPr>
            <w:r w:rsidRPr="00D42F01">
              <w:rPr>
                <w:rFonts w:ascii="Arial" w:hAnsi="Arial" w:cs="Arial"/>
                <w:sz w:val="20"/>
                <w:szCs w:val="20"/>
              </w:rPr>
              <w:t>Sheboygan</w:t>
            </w:r>
          </w:p>
        </w:tc>
        <w:tc>
          <w:tcPr>
            <w:tcW w:w="963" w:type="dxa"/>
            <w:tcBorders>
              <w:top w:val="nil"/>
              <w:left w:val="nil"/>
              <w:bottom w:val="nil"/>
              <w:right w:val="nil"/>
            </w:tcBorders>
            <w:tcMar>
              <w:top w:w="0" w:type="dxa"/>
              <w:left w:w="108" w:type="dxa"/>
              <w:bottom w:w="0" w:type="dxa"/>
              <w:right w:w="108" w:type="dxa"/>
            </w:tcMar>
            <w:vAlign w:val="center"/>
          </w:tcPr>
          <w:p w14:paraId="5F9C1855" w14:textId="77777777" w:rsidR="00001ECE" w:rsidRPr="00620A04" w:rsidRDefault="00001ECE" w:rsidP="00001ECE">
            <w:pPr>
              <w:tabs>
                <w:tab w:val="left" w:pos="645"/>
              </w:tabs>
              <w:spacing w:line="252" w:lineRule="auto"/>
              <w:ind w:left="44" w:right="62"/>
              <w:jc w:val="right"/>
              <w:rPr>
                <w:rFonts w:ascii="Arial" w:hAnsi="Arial" w:cs="Arial"/>
                <w:sz w:val="20"/>
                <w:szCs w:val="20"/>
              </w:rPr>
            </w:pPr>
            <w:r w:rsidRPr="00620A04">
              <w:rPr>
                <w:rFonts w:ascii="Arial" w:hAnsi="Arial" w:cs="Arial"/>
                <w:sz w:val="20"/>
                <w:szCs w:val="20"/>
              </w:rPr>
              <w:t xml:space="preserve"> 1,319 </w:t>
            </w:r>
          </w:p>
        </w:tc>
        <w:tc>
          <w:tcPr>
            <w:tcW w:w="922" w:type="dxa"/>
            <w:tcBorders>
              <w:top w:val="nil"/>
              <w:left w:val="nil"/>
              <w:bottom w:val="nil"/>
              <w:right w:val="nil"/>
            </w:tcBorders>
            <w:vAlign w:val="center"/>
          </w:tcPr>
          <w:p w14:paraId="025E6640" w14:textId="77777777" w:rsidR="00001ECE" w:rsidRPr="00620A04" w:rsidRDefault="00001ECE" w:rsidP="00001ECE">
            <w:pPr>
              <w:spacing w:line="252" w:lineRule="auto"/>
              <w:ind w:right="58"/>
              <w:jc w:val="right"/>
              <w:rPr>
                <w:rFonts w:ascii="Arial" w:hAnsi="Arial" w:cs="Arial"/>
                <w:sz w:val="20"/>
                <w:szCs w:val="20"/>
              </w:rPr>
            </w:pPr>
            <w:r w:rsidRPr="00620A04">
              <w:rPr>
                <w:rFonts w:ascii="Arial" w:hAnsi="Arial" w:cs="Arial"/>
                <w:sz w:val="20"/>
                <w:szCs w:val="20"/>
              </w:rPr>
              <w:t xml:space="preserve"> 1,379 </w:t>
            </w:r>
          </w:p>
        </w:tc>
        <w:tc>
          <w:tcPr>
            <w:tcW w:w="993" w:type="dxa"/>
            <w:tcBorders>
              <w:top w:val="nil"/>
              <w:left w:val="nil"/>
              <w:bottom w:val="nil"/>
              <w:right w:val="nil"/>
            </w:tcBorders>
            <w:vAlign w:val="center"/>
          </w:tcPr>
          <w:p w14:paraId="7A8551E7" w14:textId="77777777" w:rsidR="00001ECE" w:rsidRPr="00620A04" w:rsidRDefault="00001ECE" w:rsidP="00001ECE">
            <w:pPr>
              <w:spacing w:line="252" w:lineRule="auto"/>
              <w:ind w:right="195"/>
              <w:jc w:val="right"/>
              <w:rPr>
                <w:rFonts w:ascii="Arial" w:hAnsi="Arial" w:cs="Arial"/>
                <w:sz w:val="20"/>
                <w:szCs w:val="20"/>
              </w:rPr>
            </w:pPr>
            <w:r w:rsidRPr="00620A04">
              <w:rPr>
                <w:rFonts w:ascii="Arial" w:hAnsi="Arial" w:cs="Arial"/>
                <w:sz w:val="20"/>
                <w:szCs w:val="20"/>
              </w:rPr>
              <w:t>4.5%</w:t>
            </w:r>
          </w:p>
        </w:tc>
      </w:tr>
      <w:tr w:rsidR="00001ECE" w:rsidRPr="00D42F01" w14:paraId="7E13CAA2" w14:textId="77777777" w:rsidTr="00001ECE">
        <w:trPr>
          <w:trHeight w:val="288"/>
        </w:trPr>
        <w:tc>
          <w:tcPr>
            <w:tcW w:w="1452" w:type="dxa"/>
            <w:tcBorders>
              <w:top w:val="nil"/>
              <w:left w:val="nil"/>
              <w:bottom w:val="nil"/>
              <w:right w:val="nil"/>
            </w:tcBorders>
            <w:shd w:val="clear" w:color="auto" w:fill="D5DCE4" w:themeFill="text2" w:themeFillTint="33"/>
            <w:tcMar>
              <w:top w:w="0" w:type="dxa"/>
              <w:left w:w="108" w:type="dxa"/>
              <w:bottom w:w="0" w:type="dxa"/>
              <w:right w:w="108" w:type="dxa"/>
            </w:tcMar>
            <w:vAlign w:val="center"/>
          </w:tcPr>
          <w:p w14:paraId="1CC6FBDE" w14:textId="77777777" w:rsidR="00001ECE" w:rsidRPr="00D42F01" w:rsidRDefault="00001ECE" w:rsidP="00001ECE">
            <w:pPr>
              <w:spacing w:line="252" w:lineRule="auto"/>
              <w:ind w:left="62" w:right="100"/>
              <w:rPr>
                <w:rFonts w:ascii="Arial" w:hAnsi="Arial" w:cs="Arial"/>
                <w:sz w:val="20"/>
                <w:szCs w:val="20"/>
              </w:rPr>
            </w:pPr>
            <w:r w:rsidRPr="00D42F01">
              <w:rPr>
                <w:rFonts w:ascii="Arial" w:hAnsi="Arial" w:cs="Arial"/>
                <w:sz w:val="20"/>
                <w:szCs w:val="20"/>
              </w:rPr>
              <w:t>Racine</w:t>
            </w:r>
          </w:p>
        </w:tc>
        <w:tc>
          <w:tcPr>
            <w:tcW w:w="963" w:type="dxa"/>
            <w:tcBorders>
              <w:top w:val="nil"/>
              <w:left w:val="nil"/>
              <w:bottom w:val="nil"/>
              <w:right w:val="nil"/>
            </w:tcBorders>
            <w:shd w:val="clear" w:color="auto" w:fill="D5DCE4" w:themeFill="text2" w:themeFillTint="33"/>
            <w:tcMar>
              <w:top w:w="0" w:type="dxa"/>
              <w:left w:w="108" w:type="dxa"/>
              <w:bottom w:w="0" w:type="dxa"/>
              <w:right w:w="108" w:type="dxa"/>
            </w:tcMar>
            <w:vAlign w:val="center"/>
          </w:tcPr>
          <w:p w14:paraId="18B93D15" w14:textId="77777777" w:rsidR="00001ECE" w:rsidRPr="00620A04" w:rsidRDefault="00001ECE" w:rsidP="00001ECE">
            <w:pPr>
              <w:tabs>
                <w:tab w:val="left" w:pos="645"/>
              </w:tabs>
              <w:spacing w:line="252" w:lineRule="auto"/>
              <w:ind w:left="44" w:right="62"/>
              <w:jc w:val="right"/>
              <w:rPr>
                <w:rFonts w:ascii="Arial" w:hAnsi="Arial" w:cs="Arial"/>
                <w:sz w:val="20"/>
                <w:szCs w:val="20"/>
              </w:rPr>
            </w:pPr>
            <w:r w:rsidRPr="00620A04">
              <w:rPr>
                <w:rFonts w:ascii="Arial" w:hAnsi="Arial" w:cs="Arial"/>
                <w:sz w:val="20"/>
                <w:szCs w:val="20"/>
              </w:rPr>
              <w:t xml:space="preserve"> 2,870 </w:t>
            </w:r>
          </w:p>
        </w:tc>
        <w:tc>
          <w:tcPr>
            <w:tcW w:w="922" w:type="dxa"/>
            <w:tcBorders>
              <w:top w:val="nil"/>
              <w:left w:val="nil"/>
              <w:bottom w:val="nil"/>
              <w:right w:val="nil"/>
            </w:tcBorders>
            <w:shd w:val="clear" w:color="auto" w:fill="D5DCE4" w:themeFill="text2" w:themeFillTint="33"/>
            <w:vAlign w:val="center"/>
          </w:tcPr>
          <w:p w14:paraId="15690268" w14:textId="77777777" w:rsidR="00001ECE" w:rsidRPr="00620A04" w:rsidRDefault="00001ECE" w:rsidP="00001ECE">
            <w:pPr>
              <w:spacing w:line="252" w:lineRule="auto"/>
              <w:ind w:right="58"/>
              <w:jc w:val="right"/>
              <w:rPr>
                <w:rFonts w:ascii="Arial" w:hAnsi="Arial" w:cs="Arial"/>
                <w:sz w:val="20"/>
                <w:szCs w:val="20"/>
              </w:rPr>
            </w:pPr>
            <w:r w:rsidRPr="00620A04">
              <w:rPr>
                <w:rFonts w:ascii="Arial" w:hAnsi="Arial" w:cs="Arial"/>
                <w:sz w:val="20"/>
                <w:szCs w:val="20"/>
              </w:rPr>
              <w:t xml:space="preserve"> 3,023 </w:t>
            </w:r>
          </w:p>
        </w:tc>
        <w:tc>
          <w:tcPr>
            <w:tcW w:w="993" w:type="dxa"/>
            <w:tcBorders>
              <w:top w:val="nil"/>
              <w:left w:val="nil"/>
              <w:bottom w:val="nil"/>
              <w:right w:val="nil"/>
            </w:tcBorders>
            <w:shd w:val="clear" w:color="auto" w:fill="D5DCE4" w:themeFill="text2" w:themeFillTint="33"/>
            <w:vAlign w:val="center"/>
          </w:tcPr>
          <w:p w14:paraId="788E16F6" w14:textId="77777777" w:rsidR="00001ECE" w:rsidRPr="00620A04" w:rsidRDefault="00001ECE" w:rsidP="00001ECE">
            <w:pPr>
              <w:spacing w:line="252" w:lineRule="auto"/>
              <w:ind w:right="195"/>
              <w:jc w:val="right"/>
              <w:rPr>
                <w:rFonts w:ascii="Arial" w:hAnsi="Arial" w:cs="Arial"/>
                <w:sz w:val="20"/>
                <w:szCs w:val="20"/>
              </w:rPr>
            </w:pPr>
            <w:r w:rsidRPr="00620A04">
              <w:rPr>
                <w:rFonts w:ascii="Arial" w:hAnsi="Arial" w:cs="Arial"/>
                <w:sz w:val="20"/>
                <w:szCs w:val="20"/>
              </w:rPr>
              <w:t>5.3%</w:t>
            </w:r>
          </w:p>
        </w:tc>
      </w:tr>
      <w:tr w:rsidR="00001ECE" w:rsidRPr="00D42F01" w14:paraId="19DF89E3" w14:textId="77777777" w:rsidTr="00001ECE">
        <w:trPr>
          <w:trHeight w:val="288"/>
        </w:trPr>
        <w:tc>
          <w:tcPr>
            <w:tcW w:w="1452" w:type="dxa"/>
            <w:tcBorders>
              <w:top w:val="nil"/>
              <w:left w:val="nil"/>
              <w:bottom w:val="nil"/>
              <w:right w:val="nil"/>
            </w:tcBorders>
            <w:tcMar>
              <w:top w:w="0" w:type="dxa"/>
              <w:left w:w="108" w:type="dxa"/>
              <w:bottom w:w="0" w:type="dxa"/>
              <w:right w:w="108" w:type="dxa"/>
            </w:tcMar>
            <w:vAlign w:val="center"/>
          </w:tcPr>
          <w:p w14:paraId="58519F03" w14:textId="77777777" w:rsidR="00001ECE" w:rsidRPr="00D42F01" w:rsidRDefault="00001ECE" w:rsidP="00001ECE">
            <w:pPr>
              <w:spacing w:line="252" w:lineRule="auto"/>
              <w:ind w:left="62" w:right="100"/>
              <w:rPr>
                <w:rFonts w:ascii="Arial" w:hAnsi="Arial" w:cs="Arial"/>
                <w:sz w:val="20"/>
                <w:szCs w:val="20"/>
              </w:rPr>
            </w:pPr>
            <w:r w:rsidRPr="00D42F01">
              <w:rPr>
                <w:rFonts w:ascii="Arial" w:hAnsi="Arial" w:cs="Arial"/>
                <w:sz w:val="20"/>
                <w:szCs w:val="20"/>
              </w:rPr>
              <w:t>Kenosha</w:t>
            </w:r>
          </w:p>
        </w:tc>
        <w:tc>
          <w:tcPr>
            <w:tcW w:w="963" w:type="dxa"/>
            <w:tcBorders>
              <w:top w:val="nil"/>
              <w:left w:val="nil"/>
              <w:bottom w:val="nil"/>
              <w:right w:val="nil"/>
            </w:tcBorders>
            <w:tcMar>
              <w:top w:w="0" w:type="dxa"/>
              <w:left w:w="108" w:type="dxa"/>
              <w:bottom w:w="0" w:type="dxa"/>
              <w:right w:w="108" w:type="dxa"/>
            </w:tcMar>
            <w:vAlign w:val="center"/>
          </w:tcPr>
          <w:p w14:paraId="4E4E2129" w14:textId="77777777" w:rsidR="00001ECE" w:rsidRPr="00620A04" w:rsidRDefault="00001ECE" w:rsidP="00001ECE">
            <w:pPr>
              <w:tabs>
                <w:tab w:val="left" w:pos="645"/>
              </w:tabs>
              <w:spacing w:line="252" w:lineRule="auto"/>
              <w:ind w:left="44" w:right="62"/>
              <w:jc w:val="right"/>
              <w:rPr>
                <w:rFonts w:ascii="Arial" w:hAnsi="Arial" w:cs="Arial"/>
                <w:sz w:val="20"/>
                <w:szCs w:val="20"/>
              </w:rPr>
            </w:pPr>
            <w:r w:rsidRPr="00620A04">
              <w:rPr>
                <w:rFonts w:ascii="Arial" w:hAnsi="Arial" w:cs="Arial"/>
                <w:sz w:val="20"/>
                <w:szCs w:val="20"/>
              </w:rPr>
              <w:t xml:space="preserve"> 2,126 </w:t>
            </w:r>
          </w:p>
        </w:tc>
        <w:tc>
          <w:tcPr>
            <w:tcW w:w="922" w:type="dxa"/>
            <w:tcBorders>
              <w:top w:val="nil"/>
              <w:left w:val="nil"/>
              <w:bottom w:val="nil"/>
              <w:right w:val="nil"/>
            </w:tcBorders>
            <w:vAlign w:val="center"/>
          </w:tcPr>
          <w:p w14:paraId="265B1164" w14:textId="77777777" w:rsidR="00001ECE" w:rsidRPr="00620A04" w:rsidRDefault="00001ECE" w:rsidP="00001ECE">
            <w:pPr>
              <w:spacing w:line="252" w:lineRule="auto"/>
              <w:ind w:right="58"/>
              <w:jc w:val="right"/>
              <w:rPr>
                <w:rFonts w:ascii="Arial" w:hAnsi="Arial" w:cs="Arial"/>
                <w:sz w:val="20"/>
                <w:szCs w:val="20"/>
              </w:rPr>
            </w:pPr>
            <w:r w:rsidRPr="00620A04">
              <w:rPr>
                <w:rFonts w:ascii="Arial" w:hAnsi="Arial" w:cs="Arial"/>
                <w:sz w:val="20"/>
                <w:szCs w:val="20"/>
              </w:rPr>
              <w:t xml:space="preserve"> 2,002 </w:t>
            </w:r>
          </w:p>
        </w:tc>
        <w:tc>
          <w:tcPr>
            <w:tcW w:w="993" w:type="dxa"/>
            <w:tcBorders>
              <w:top w:val="nil"/>
              <w:left w:val="nil"/>
              <w:bottom w:val="nil"/>
              <w:right w:val="nil"/>
            </w:tcBorders>
            <w:vAlign w:val="center"/>
          </w:tcPr>
          <w:p w14:paraId="0EB6E799" w14:textId="77777777" w:rsidR="00001ECE" w:rsidRPr="00620A04" w:rsidRDefault="00001ECE" w:rsidP="00001ECE">
            <w:pPr>
              <w:spacing w:line="252" w:lineRule="auto"/>
              <w:ind w:right="195"/>
              <w:jc w:val="right"/>
              <w:rPr>
                <w:rFonts w:ascii="Arial" w:hAnsi="Arial" w:cs="Arial"/>
                <w:sz w:val="20"/>
                <w:szCs w:val="20"/>
              </w:rPr>
            </w:pPr>
            <w:r w:rsidRPr="00620A04">
              <w:rPr>
                <w:rFonts w:ascii="Arial" w:hAnsi="Arial" w:cs="Arial"/>
                <w:sz w:val="20"/>
                <w:szCs w:val="20"/>
              </w:rPr>
              <w:t>-5.8%</w:t>
            </w:r>
          </w:p>
        </w:tc>
      </w:tr>
      <w:tr w:rsidR="00001ECE" w:rsidRPr="00D42F01" w14:paraId="49CAEE7A" w14:textId="77777777" w:rsidTr="00001ECE">
        <w:trPr>
          <w:trHeight w:val="288"/>
        </w:trPr>
        <w:tc>
          <w:tcPr>
            <w:tcW w:w="1452" w:type="dxa"/>
            <w:tcBorders>
              <w:top w:val="nil"/>
              <w:left w:val="nil"/>
              <w:bottom w:val="nil"/>
              <w:right w:val="nil"/>
            </w:tcBorders>
            <w:shd w:val="clear" w:color="auto" w:fill="D5DCE4" w:themeFill="text2" w:themeFillTint="33"/>
            <w:tcMar>
              <w:top w:w="0" w:type="dxa"/>
              <w:left w:w="108" w:type="dxa"/>
              <w:bottom w:w="0" w:type="dxa"/>
              <w:right w:w="108" w:type="dxa"/>
            </w:tcMar>
            <w:vAlign w:val="center"/>
          </w:tcPr>
          <w:p w14:paraId="2FB990DF" w14:textId="77777777" w:rsidR="00001ECE" w:rsidRPr="00D42F01" w:rsidRDefault="00001ECE" w:rsidP="00001ECE">
            <w:pPr>
              <w:spacing w:line="252" w:lineRule="auto"/>
              <w:ind w:left="62" w:right="100"/>
              <w:rPr>
                <w:rFonts w:ascii="Arial" w:hAnsi="Arial" w:cs="Arial"/>
                <w:sz w:val="20"/>
                <w:szCs w:val="20"/>
              </w:rPr>
            </w:pPr>
            <w:r w:rsidRPr="00D42F01">
              <w:rPr>
                <w:rFonts w:ascii="Arial" w:hAnsi="Arial" w:cs="Arial"/>
                <w:sz w:val="20"/>
                <w:szCs w:val="20"/>
              </w:rPr>
              <w:t>Walworth</w:t>
            </w:r>
          </w:p>
        </w:tc>
        <w:tc>
          <w:tcPr>
            <w:tcW w:w="963" w:type="dxa"/>
            <w:tcBorders>
              <w:top w:val="nil"/>
              <w:left w:val="nil"/>
              <w:bottom w:val="nil"/>
              <w:right w:val="nil"/>
            </w:tcBorders>
            <w:shd w:val="clear" w:color="auto" w:fill="D5DCE4" w:themeFill="text2" w:themeFillTint="33"/>
            <w:tcMar>
              <w:top w:w="0" w:type="dxa"/>
              <w:left w:w="108" w:type="dxa"/>
              <w:bottom w:w="0" w:type="dxa"/>
              <w:right w:w="108" w:type="dxa"/>
            </w:tcMar>
            <w:vAlign w:val="center"/>
          </w:tcPr>
          <w:p w14:paraId="7CF798D2" w14:textId="77777777" w:rsidR="00001ECE" w:rsidRPr="00620A04" w:rsidRDefault="00001ECE" w:rsidP="00001ECE">
            <w:pPr>
              <w:tabs>
                <w:tab w:val="left" w:pos="645"/>
              </w:tabs>
              <w:spacing w:line="252" w:lineRule="auto"/>
              <w:ind w:left="44" w:right="62"/>
              <w:jc w:val="right"/>
              <w:rPr>
                <w:rFonts w:ascii="Arial" w:hAnsi="Arial" w:cs="Arial"/>
                <w:sz w:val="20"/>
                <w:szCs w:val="20"/>
              </w:rPr>
            </w:pPr>
            <w:r w:rsidRPr="00620A04">
              <w:rPr>
                <w:rFonts w:ascii="Arial" w:hAnsi="Arial" w:cs="Arial"/>
                <w:sz w:val="20"/>
                <w:szCs w:val="20"/>
              </w:rPr>
              <w:t xml:space="preserve"> 1,959 </w:t>
            </w:r>
          </w:p>
        </w:tc>
        <w:tc>
          <w:tcPr>
            <w:tcW w:w="922" w:type="dxa"/>
            <w:tcBorders>
              <w:top w:val="nil"/>
              <w:left w:val="nil"/>
              <w:bottom w:val="nil"/>
              <w:right w:val="nil"/>
            </w:tcBorders>
            <w:shd w:val="clear" w:color="auto" w:fill="D5DCE4" w:themeFill="text2" w:themeFillTint="33"/>
            <w:vAlign w:val="center"/>
          </w:tcPr>
          <w:p w14:paraId="41AE9A03" w14:textId="77777777" w:rsidR="00001ECE" w:rsidRPr="00620A04" w:rsidRDefault="00001ECE" w:rsidP="00001ECE">
            <w:pPr>
              <w:spacing w:line="252" w:lineRule="auto"/>
              <w:ind w:right="58"/>
              <w:jc w:val="right"/>
              <w:rPr>
                <w:rFonts w:ascii="Arial" w:hAnsi="Arial" w:cs="Arial"/>
                <w:sz w:val="20"/>
                <w:szCs w:val="20"/>
              </w:rPr>
            </w:pPr>
            <w:r w:rsidRPr="00620A04">
              <w:rPr>
                <w:rFonts w:ascii="Arial" w:hAnsi="Arial" w:cs="Arial"/>
                <w:sz w:val="20"/>
                <w:szCs w:val="20"/>
              </w:rPr>
              <w:t xml:space="preserve"> 2,023 </w:t>
            </w:r>
          </w:p>
        </w:tc>
        <w:tc>
          <w:tcPr>
            <w:tcW w:w="993" w:type="dxa"/>
            <w:tcBorders>
              <w:top w:val="nil"/>
              <w:left w:val="nil"/>
              <w:bottom w:val="nil"/>
              <w:right w:val="nil"/>
            </w:tcBorders>
            <w:shd w:val="clear" w:color="auto" w:fill="D5DCE4" w:themeFill="text2" w:themeFillTint="33"/>
            <w:vAlign w:val="center"/>
          </w:tcPr>
          <w:p w14:paraId="62574A51" w14:textId="77777777" w:rsidR="00001ECE" w:rsidRPr="00620A04" w:rsidRDefault="00001ECE" w:rsidP="00001ECE">
            <w:pPr>
              <w:spacing w:line="252" w:lineRule="auto"/>
              <w:ind w:right="195"/>
              <w:jc w:val="right"/>
              <w:rPr>
                <w:rFonts w:ascii="Arial" w:hAnsi="Arial" w:cs="Arial"/>
                <w:sz w:val="20"/>
                <w:szCs w:val="20"/>
              </w:rPr>
            </w:pPr>
            <w:r w:rsidRPr="00620A04">
              <w:rPr>
                <w:rFonts w:ascii="Arial" w:hAnsi="Arial" w:cs="Arial"/>
                <w:sz w:val="20"/>
                <w:szCs w:val="20"/>
              </w:rPr>
              <w:t>3.3%</w:t>
            </w:r>
          </w:p>
        </w:tc>
      </w:tr>
      <w:tr w:rsidR="00001ECE" w:rsidRPr="00D42F01" w14:paraId="1771A4F8" w14:textId="77777777" w:rsidTr="00001ECE">
        <w:trPr>
          <w:trHeight w:val="288"/>
        </w:trPr>
        <w:tc>
          <w:tcPr>
            <w:tcW w:w="1452" w:type="dxa"/>
            <w:tcBorders>
              <w:top w:val="single" w:sz="4" w:space="0" w:color="auto"/>
              <w:left w:val="nil"/>
              <w:bottom w:val="nil"/>
              <w:right w:val="nil"/>
            </w:tcBorders>
            <w:tcMar>
              <w:top w:w="0" w:type="dxa"/>
              <w:left w:w="108" w:type="dxa"/>
              <w:bottom w:w="0" w:type="dxa"/>
              <w:right w:w="108" w:type="dxa"/>
            </w:tcMar>
            <w:vAlign w:val="center"/>
          </w:tcPr>
          <w:p w14:paraId="092B8B20" w14:textId="77777777" w:rsidR="00001ECE" w:rsidRPr="00D42F01" w:rsidRDefault="00001ECE" w:rsidP="00001ECE">
            <w:pPr>
              <w:spacing w:line="252" w:lineRule="auto"/>
              <w:ind w:left="62" w:right="100"/>
              <w:rPr>
                <w:rFonts w:ascii="Arial" w:hAnsi="Arial" w:cs="Arial"/>
                <w:sz w:val="20"/>
                <w:szCs w:val="20"/>
              </w:rPr>
            </w:pPr>
            <w:r w:rsidRPr="00D42F01">
              <w:rPr>
                <w:rFonts w:ascii="Arial" w:hAnsi="Arial" w:cs="Arial"/>
                <w:sz w:val="20"/>
                <w:szCs w:val="20"/>
              </w:rPr>
              <w:t>SE WI Area</w:t>
            </w:r>
          </w:p>
        </w:tc>
        <w:tc>
          <w:tcPr>
            <w:tcW w:w="963" w:type="dxa"/>
            <w:tcBorders>
              <w:top w:val="single" w:sz="4" w:space="0" w:color="auto"/>
              <w:left w:val="nil"/>
              <w:bottom w:val="nil"/>
              <w:right w:val="nil"/>
            </w:tcBorders>
            <w:tcMar>
              <w:top w:w="0" w:type="dxa"/>
              <w:left w:w="108" w:type="dxa"/>
              <w:bottom w:w="0" w:type="dxa"/>
              <w:right w:w="108" w:type="dxa"/>
            </w:tcMar>
            <w:vAlign w:val="center"/>
          </w:tcPr>
          <w:p w14:paraId="66850511" w14:textId="77777777" w:rsidR="00001ECE" w:rsidRPr="00620A04" w:rsidRDefault="00001ECE" w:rsidP="00001ECE">
            <w:pPr>
              <w:tabs>
                <w:tab w:val="left" w:pos="645"/>
              </w:tabs>
              <w:spacing w:line="252" w:lineRule="auto"/>
              <w:ind w:left="44" w:right="62"/>
              <w:jc w:val="right"/>
              <w:rPr>
                <w:rFonts w:ascii="Arial" w:hAnsi="Arial" w:cs="Arial"/>
                <w:sz w:val="20"/>
                <w:szCs w:val="20"/>
              </w:rPr>
            </w:pPr>
            <w:r w:rsidRPr="00620A04">
              <w:rPr>
                <w:rFonts w:ascii="Arial" w:hAnsi="Arial" w:cs="Arial"/>
                <w:sz w:val="20"/>
                <w:szCs w:val="20"/>
              </w:rPr>
              <w:t xml:space="preserve">29,571 </w:t>
            </w:r>
          </w:p>
        </w:tc>
        <w:tc>
          <w:tcPr>
            <w:tcW w:w="922" w:type="dxa"/>
            <w:tcBorders>
              <w:top w:val="single" w:sz="4" w:space="0" w:color="auto"/>
              <w:left w:val="nil"/>
              <w:bottom w:val="nil"/>
              <w:right w:val="nil"/>
            </w:tcBorders>
            <w:vAlign w:val="center"/>
          </w:tcPr>
          <w:p w14:paraId="18205118" w14:textId="77777777" w:rsidR="00001ECE" w:rsidRPr="00620A04" w:rsidRDefault="00001ECE" w:rsidP="00001ECE">
            <w:pPr>
              <w:spacing w:line="252" w:lineRule="auto"/>
              <w:ind w:right="58"/>
              <w:jc w:val="right"/>
              <w:rPr>
                <w:rFonts w:ascii="Arial" w:hAnsi="Arial" w:cs="Arial"/>
                <w:sz w:val="20"/>
                <w:szCs w:val="20"/>
              </w:rPr>
            </w:pPr>
            <w:r w:rsidRPr="00620A04">
              <w:rPr>
                <w:rFonts w:ascii="Arial" w:hAnsi="Arial" w:cs="Arial"/>
                <w:sz w:val="20"/>
                <w:szCs w:val="20"/>
              </w:rPr>
              <w:t xml:space="preserve"> 30,369 </w:t>
            </w:r>
          </w:p>
        </w:tc>
        <w:tc>
          <w:tcPr>
            <w:tcW w:w="993" w:type="dxa"/>
            <w:tcBorders>
              <w:top w:val="nil"/>
              <w:left w:val="nil"/>
              <w:bottom w:val="nil"/>
              <w:right w:val="nil"/>
            </w:tcBorders>
            <w:vAlign w:val="center"/>
          </w:tcPr>
          <w:p w14:paraId="2AD3B91F" w14:textId="77777777" w:rsidR="00001ECE" w:rsidRPr="00620A04" w:rsidRDefault="00001ECE" w:rsidP="00001ECE">
            <w:pPr>
              <w:spacing w:line="252" w:lineRule="auto"/>
              <w:ind w:right="195"/>
              <w:jc w:val="right"/>
              <w:rPr>
                <w:rFonts w:ascii="Arial" w:hAnsi="Arial" w:cs="Arial"/>
                <w:sz w:val="20"/>
                <w:szCs w:val="20"/>
              </w:rPr>
            </w:pPr>
            <w:r w:rsidRPr="00620A04">
              <w:rPr>
                <w:rFonts w:ascii="Arial" w:hAnsi="Arial" w:cs="Arial"/>
                <w:sz w:val="20"/>
                <w:szCs w:val="20"/>
              </w:rPr>
              <w:t>2.7%</w:t>
            </w:r>
          </w:p>
        </w:tc>
      </w:tr>
      <w:tr w:rsidR="00001ECE" w:rsidRPr="00D42F01" w14:paraId="0DE89961" w14:textId="77777777" w:rsidTr="00001ECE">
        <w:trPr>
          <w:trHeight w:val="144"/>
        </w:trPr>
        <w:tc>
          <w:tcPr>
            <w:tcW w:w="4330" w:type="dxa"/>
            <w:gridSpan w:val="4"/>
            <w:tcBorders>
              <w:top w:val="nil"/>
              <w:left w:val="nil"/>
              <w:bottom w:val="nil"/>
              <w:right w:val="nil"/>
            </w:tcBorders>
            <w:tcMar>
              <w:top w:w="0" w:type="dxa"/>
              <w:left w:w="108" w:type="dxa"/>
              <w:bottom w:w="0" w:type="dxa"/>
              <w:right w:w="108" w:type="dxa"/>
            </w:tcMar>
            <w:vAlign w:val="center"/>
          </w:tcPr>
          <w:p w14:paraId="7DD2753D" w14:textId="77777777" w:rsidR="00001ECE" w:rsidRPr="00D42F01" w:rsidRDefault="00001ECE" w:rsidP="00001ECE">
            <w:pPr>
              <w:spacing w:line="252" w:lineRule="auto"/>
              <w:ind w:right="195"/>
              <w:rPr>
                <w:rFonts w:ascii="Arial" w:hAnsi="Arial" w:cs="Arial"/>
                <w:sz w:val="10"/>
                <w:szCs w:val="10"/>
              </w:rPr>
            </w:pPr>
          </w:p>
        </w:tc>
      </w:tr>
      <w:tr w:rsidR="00001ECE" w:rsidRPr="00D42F01" w14:paraId="48F7BD42" w14:textId="77777777" w:rsidTr="00001ECE">
        <w:trPr>
          <w:trHeight w:val="360"/>
        </w:trPr>
        <w:tc>
          <w:tcPr>
            <w:tcW w:w="4330" w:type="dxa"/>
            <w:gridSpan w:val="4"/>
            <w:tcBorders>
              <w:top w:val="nil"/>
              <w:left w:val="nil"/>
              <w:bottom w:val="single" w:sz="8" w:space="0" w:color="FFFFFF" w:themeColor="background1"/>
              <w:right w:val="nil"/>
            </w:tcBorders>
            <w:tcMar>
              <w:top w:w="0" w:type="dxa"/>
              <w:left w:w="108" w:type="dxa"/>
              <w:bottom w:w="0" w:type="dxa"/>
              <w:right w:w="108" w:type="dxa"/>
            </w:tcMar>
            <w:vAlign w:val="center"/>
          </w:tcPr>
          <w:p w14:paraId="2F50C73A" w14:textId="77777777" w:rsidR="00001ECE" w:rsidRPr="00D42F01" w:rsidRDefault="00001ECE" w:rsidP="00001ECE">
            <w:pPr>
              <w:spacing w:line="252" w:lineRule="auto"/>
              <w:ind w:left="-105" w:right="-90"/>
              <w:rPr>
                <w:rFonts w:ascii="Arial" w:hAnsi="Arial" w:cs="Arial"/>
                <w:sz w:val="22"/>
              </w:rPr>
            </w:pPr>
            <w:r w:rsidRPr="00D42F01">
              <w:rPr>
                <w:rFonts w:ascii="Arial" w:hAnsi="Arial" w:cs="Arial"/>
                <w:b/>
                <w:bCs/>
                <w:sz w:val="20"/>
                <w:szCs w:val="20"/>
              </w:rPr>
              <w:t xml:space="preserve"> </w:t>
            </w:r>
            <w:r>
              <w:rPr>
                <w:rFonts w:ascii="Arial" w:hAnsi="Arial" w:cs="Arial"/>
                <w:b/>
                <w:bCs/>
                <w:sz w:val="22"/>
              </w:rPr>
              <w:t>December</w:t>
            </w:r>
            <w:r w:rsidRPr="00D42F01">
              <w:rPr>
                <w:rFonts w:ascii="Arial" w:hAnsi="Arial" w:cs="Arial"/>
                <w:b/>
                <w:bCs/>
                <w:sz w:val="22"/>
              </w:rPr>
              <w:t xml:space="preserve"> Listings</w:t>
            </w:r>
          </w:p>
        </w:tc>
      </w:tr>
      <w:tr w:rsidR="00001ECE" w:rsidRPr="00D42F01" w14:paraId="6DD61D7D" w14:textId="77777777" w:rsidTr="00001ECE">
        <w:trPr>
          <w:trHeight w:val="288"/>
        </w:trPr>
        <w:tc>
          <w:tcPr>
            <w:tcW w:w="1452" w:type="dxa"/>
            <w:tcBorders>
              <w:top w:val="nil"/>
              <w:left w:val="nil"/>
              <w:bottom w:val="nil"/>
              <w:right w:val="single" w:sz="12" w:space="0" w:color="FFFFFF"/>
            </w:tcBorders>
            <w:shd w:val="clear" w:color="auto" w:fill="1F4E79"/>
            <w:tcMar>
              <w:top w:w="0" w:type="dxa"/>
              <w:left w:w="108" w:type="dxa"/>
              <w:bottom w:w="0" w:type="dxa"/>
              <w:right w:w="108" w:type="dxa"/>
            </w:tcMar>
            <w:vAlign w:val="center"/>
          </w:tcPr>
          <w:p w14:paraId="632467DD" w14:textId="77777777" w:rsidR="00001ECE" w:rsidRPr="00D42F01" w:rsidRDefault="00001ECE" w:rsidP="00001ECE">
            <w:pPr>
              <w:spacing w:line="252" w:lineRule="auto"/>
              <w:ind w:left="62" w:right="100"/>
              <w:rPr>
                <w:rFonts w:ascii="Arial" w:hAnsi="Arial" w:cs="Arial"/>
                <w:color w:val="FFFFFF" w:themeColor="background1"/>
                <w:sz w:val="20"/>
                <w:szCs w:val="20"/>
              </w:rPr>
            </w:pPr>
            <w:r w:rsidRPr="00D42F01">
              <w:rPr>
                <w:rFonts w:ascii="Arial" w:hAnsi="Arial" w:cs="Arial"/>
                <w:bCs/>
                <w:color w:val="FFFFFF" w:themeColor="background1"/>
                <w:sz w:val="20"/>
                <w:szCs w:val="20"/>
              </w:rPr>
              <w:t>County</w:t>
            </w:r>
          </w:p>
        </w:tc>
        <w:tc>
          <w:tcPr>
            <w:tcW w:w="963" w:type="dxa"/>
            <w:tcBorders>
              <w:top w:val="nil"/>
              <w:left w:val="single" w:sz="12" w:space="0" w:color="FFFFFF"/>
              <w:bottom w:val="nil"/>
              <w:right w:val="single" w:sz="12" w:space="0" w:color="FFFFFF"/>
            </w:tcBorders>
            <w:shd w:val="clear" w:color="auto" w:fill="1F4E79"/>
            <w:tcMar>
              <w:top w:w="0" w:type="dxa"/>
              <w:left w:w="108" w:type="dxa"/>
              <w:bottom w:w="0" w:type="dxa"/>
              <w:right w:w="108" w:type="dxa"/>
            </w:tcMar>
            <w:vAlign w:val="center"/>
          </w:tcPr>
          <w:p w14:paraId="06B16FCA" w14:textId="77777777" w:rsidR="00001ECE" w:rsidRPr="00D42F01" w:rsidRDefault="00001ECE" w:rsidP="00001ECE">
            <w:pPr>
              <w:spacing w:line="252" w:lineRule="auto"/>
              <w:ind w:left="44" w:right="62"/>
              <w:jc w:val="center"/>
              <w:rPr>
                <w:rFonts w:ascii="Arial" w:hAnsi="Arial" w:cs="Arial"/>
                <w:color w:val="FFFFFF" w:themeColor="background1"/>
                <w:sz w:val="20"/>
                <w:szCs w:val="20"/>
              </w:rPr>
            </w:pPr>
            <w:r w:rsidRPr="00D42F01">
              <w:rPr>
                <w:rFonts w:ascii="Arial" w:hAnsi="Arial" w:cs="Arial"/>
                <w:color w:val="FFFFFF" w:themeColor="background1"/>
                <w:sz w:val="20"/>
                <w:szCs w:val="20"/>
              </w:rPr>
              <w:t>2024</w:t>
            </w:r>
          </w:p>
        </w:tc>
        <w:tc>
          <w:tcPr>
            <w:tcW w:w="922" w:type="dxa"/>
            <w:tcBorders>
              <w:top w:val="nil"/>
              <w:left w:val="single" w:sz="12" w:space="0" w:color="FFFFFF"/>
              <w:bottom w:val="nil"/>
              <w:right w:val="single" w:sz="12" w:space="0" w:color="FFFFFF"/>
            </w:tcBorders>
            <w:shd w:val="clear" w:color="auto" w:fill="1F4E79"/>
            <w:vAlign w:val="center"/>
          </w:tcPr>
          <w:p w14:paraId="601A5E70" w14:textId="77777777" w:rsidR="00001ECE" w:rsidRPr="00D42F01" w:rsidRDefault="00001ECE" w:rsidP="00001ECE">
            <w:pPr>
              <w:spacing w:line="252" w:lineRule="auto"/>
              <w:jc w:val="center"/>
              <w:rPr>
                <w:rFonts w:ascii="Arial" w:hAnsi="Arial" w:cs="Arial"/>
                <w:color w:val="FFFFFF" w:themeColor="background1"/>
                <w:sz w:val="20"/>
                <w:szCs w:val="20"/>
              </w:rPr>
            </w:pPr>
            <w:r w:rsidRPr="00D42F01">
              <w:rPr>
                <w:rFonts w:ascii="Arial" w:hAnsi="Arial" w:cs="Arial"/>
                <w:color w:val="FFFFFF" w:themeColor="background1"/>
                <w:sz w:val="20"/>
                <w:szCs w:val="20"/>
              </w:rPr>
              <w:t>2025</w:t>
            </w:r>
          </w:p>
        </w:tc>
        <w:tc>
          <w:tcPr>
            <w:tcW w:w="993" w:type="dxa"/>
            <w:tcBorders>
              <w:top w:val="nil"/>
              <w:left w:val="single" w:sz="12" w:space="0" w:color="FFFFFF"/>
              <w:bottom w:val="nil"/>
              <w:right w:val="nil"/>
            </w:tcBorders>
            <w:shd w:val="clear" w:color="auto" w:fill="1F4E79"/>
            <w:vAlign w:val="center"/>
          </w:tcPr>
          <w:p w14:paraId="6EA5E885" w14:textId="77777777" w:rsidR="00001ECE" w:rsidRPr="00D42F01" w:rsidRDefault="00001ECE" w:rsidP="00001ECE">
            <w:pPr>
              <w:spacing w:line="252" w:lineRule="auto"/>
              <w:ind w:right="15"/>
              <w:jc w:val="center"/>
              <w:rPr>
                <w:rFonts w:ascii="Arial" w:hAnsi="Arial" w:cs="Arial"/>
                <w:color w:val="FFFFFF" w:themeColor="background1"/>
                <w:sz w:val="20"/>
                <w:szCs w:val="20"/>
              </w:rPr>
            </w:pPr>
            <w:r w:rsidRPr="00DB59A4">
              <w:rPr>
                <w:rFonts w:ascii="Arial Narrow" w:hAnsi="Arial Narrow" w:cs="Arial"/>
                <w:color w:val="FFFFFF" w:themeColor="background1"/>
                <w:sz w:val="20"/>
                <w:szCs w:val="20"/>
              </w:rPr>
              <w:t>% Change</w:t>
            </w:r>
          </w:p>
        </w:tc>
      </w:tr>
      <w:tr w:rsidR="00001ECE" w:rsidRPr="00D42F01" w14:paraId="449DF6F4" w14:textId="77777777" w:rsidTr="00001ECE">
        <w:trPr>
          <w:trHeight w:val="288"/>
        </w:trPr>
        <w:tc>
          <w:tcPr>
            <w:tcW w:w="1452" w:type="dxa"/>
            <w:tcBorders>
              <w:top w:val="single" w:sz="8" w:space="0" w:color="FFFFFF" w:themeColor="background1"/>
              <w:left w:val="nil"/>
              <w:bottom w:val="nil"/>
              <w:right w:val="nil"/>
            </w:tcBorders>
            <w:tcMar>
              <w:top w:w="0" w:type="dxa"/>
              <w:left w:w="108" w:type="dxa"/>
              <w:bottom w:w="0" w:type="dxa"/>
              <w:right w:w="108" w:type="dxa"/>
            </w:tcMar>
            <w:vAlign w:val="center"/>
          </w:tcPr>
          <w:p w14:paraId="4A364942" w14:textId="77777777" w:rsidR="00001ECE" w:rsidRPr="00D42F01" w:rsidRDefault="00001ECE" w:rsidP="00001ECE">
            <w:pPr>
              <w:spacing w:line="252" w:lineRule="auto"/>
              <w:ind w:left="62" w:right="100"/>
              <w:rPr>
                <w:rFonts w:ascii="Arial" w:hAnsi="Arial" w:cs="Arial"/>
                <w:sz w:val="20"/>
                <w:szCs w:val="20"/>
              </w:rPr>
            </w:pPr>
            <w:r w:rsidRPr="00D42F01">
              <w:rPr>
                <w:rFonts w:ascii="Arial" w:hAnsi="Arial" w:cs="Arial"/>
                <w:sz w:val="20"/>
                <w:szCs w:val="20"/>
              </w:rPr>
              <w:t>Milwaukee</w:t>
            </w:r>
          </w:p>
        </w:tc>
        <w:tc>
          <w:tcPr>
            <w:tcW w:w="963" w:type="dxa"/>
            <w:tcBorders>
              <w:top w:val="single" w:sz="8" w:space="0" w:color="FFFFFF" w:themeColor="background1"/>
              <w:left w:val="nil"/>
              <w:bottom w:val="nil"/>
              <w:right w:val="nil"/>
            </w:tcBorders>
            <w:tcMar>
              <w:top w:w="0" w:type="dxa"/>
              <w:left w:w="108" w:type="dxa"/>
              <w:bottom w:w="0" w:type="dxa"/>
              <w:right w:w="108" w:type="dxa"/>
            </w:tcMar>
            <w:vAlign w:val="center"/>
          </w:tcPr>
          <w:p w14:paraId="1FA544C4" w14:textId="77777777" w:rsidR="00001ECE" w:rsidRPr="00D42F01" w:rsidRDefault="00001ECE" w:rsidP="00001ECE">
            <w:pPr>
              <w:spacing w:line="252" w:lineRule="auto"/>
              <w:ind w:left="44" w:right="62"/>
              <w:jc w:val="right"/>
              <w:rPr>
                <w:rFonts w:ascii="Arial" w:hAnsi="Arial" w:cs="Arial"/>
                <w:sz w:val="20"/>
                <w:szCs w:val="20"/>
              </w:rPr>
            </w:pPr>
            <w:r>
              <w:rPr>
                <w:rFonts w:ascii="Arial" w:hAnsi="Arial" w:cs="Arial"/>
                <w:sz w:val="20"/>
                <w:szCs w:val="20"/>
              </w:rPr>
              <w:t>524</w:t>
            </w:r>
          </w:p>
        </w:tc>
        <w:tc>
          <w:tcPr>
            <w:tcW w:w="922" w:type="dxa"/>
            <w:tcBorders>
              <w:top w:val="single" w:sz="8" w:space="0" w:color="FFFFFF" w:themeColor="background1"/>
              <w:left w:val="nil"/>
              <w:bottom w:val="nil"/>
              <w:right w:val="nil"/>
            </w:tcBorders>
            <w:vAlign w:val="center"/>
          </w:tcPr>
          <w:p w14:paraId="224BDA3D" w14:textId="77777777" w:rsidR="00001ECE" w:rsidRPr="00D42F01" w:rsidRDefault="00001ECE" w:rsidP="00001ECE">
            <w:pPr>
              <w:spacing w:line="252" w:lineRule="auto"/>
              <w:ind w:right="58"/>
              <w:jc w:val="right"/>
              <w:rPr>
                <w:rFonts w:ascii="Arial" w:hAnsi="Arial" w:cs="Arial"/>
                <w:sz w:val="20"/>
                <w:szCs w:val="20"/>
              </w:rPr>
            </w:pPr>
            <w:r>
              <w:rPr>
                <w:rFonts w:ascii="Arial" w:hAnsi="Arial" w:cs="Arial"/>
                <w:sz w:val="20"/>
                <w:szCs w:val="20"/>
              </w:rPr>
              <w:t>467</w:t>
            </w:r>
          </w:p>
        </w:tc>
        <w:tc>
          <w:tcPr>
            <w:tcW w:w="993" w:type="dxa"/>
            <w:tcBorders>
              <w:top w:val="single" w:sz="8" w:space="0" w:color="FFFFFF" w:themeColor="background1"/>
              <w:left w:val="nil"/>
              <w:bottom w:val="nil"/>
              <w:right w:val="nil"/>
            </w:tcBorders>
            <w:vAlign w:val="center"/>
          </w:tcPr>
          <w:p w14:paraId="53001121" w14:textId="77777777" w:rsidR="00001ECE" w:rsidRPr="00D42F01" w:rsidRDefault="00001ECE" w:rsidP="00001ECE">
            <w:pPr>
              <w:spacing w:line="252" w:lineRule="auto"/>
              <w:ind w:right="195"/>
              <w:jc w:val="right"/>
              <w:rPr>
                <w:rFonts w:ascii="Arial" w:hAnsi="Arial" w:cs="Arial"/>
                <w:sz w:val="20"/>
                <w:szCs w:val="20"/>
              </w:rPr>
            </w:pPr>
            <w:r>
              <w:rPr>
                <w:rFonts w:ascii="Arial" w:hAnsi="Arial" w:cs="Arial"/>
                <w:sz w:val="20"/>
                <w:szCs w:val="20"/>
              </w:rPr>
              <w:t>-10.9%</w:t>
            </w:r>
          </w:p>
        </w:tc>
      </w:tr>
      <w:tr w:rsidR="00001ECE" w:rsidRPr="00D42F01" w14:paraId="4872789C" w14:textId="77777777" w:rsidTr="00001ECE">
        <w:trPr>
          <w:trHeight w:val="288"/>
        </w:trPr>
        <w:tc>
          <w:tcPr>
            <w:tcW w:w="1452" w:type="dxa"/>
            <w:tcBorders>
              <w:top w:val="nil"/>
              <w:left w:val="nil"/>
              <w:bottom w:val="nil"/>
              <w:right w:val="nil"/>
            </w:tcBorders>
            <w:shd w:val="clear" w:color="auto" w:fill="D5DCE4" w:themeFill="text2" w:themeFillTint="33"/>
            <w:tcMar>
              <w:top w:w="0" w:type="dxa"/>
              <w:left w:w="108" w:type="dxa"/>
              <w:bottom w:w="0" w:type="dxa"/>
              <w:right w:w="108" w:type="dxa"/>
            </w:tcMar>
            <w:vAlign w:val="center"/>
          </w:tcPr>
          <w:p w14:paraId="7B17D1EB" w14:textId="77777777" w:rsidR="00001ECE" w:rsidRPr="00D42F01" w:rsidRDefault="00001ECE" w:rsidP="00001ECE">
            <w:pPr>
              <w:spacing w:line="252" w:lineRule="auto"/>
              <w:ind w:left="62" w:right="100"/>
              <w:rPr>
                <w:rFonts w:ascii="Arial" w:hAnsi="Arial" w:cs="Arial"/>
                <w:sz w:val="20"/>
                <w:szCs w:val="20"/>
              </w:rPr>
            </w:pPr>
            <w:r w:rsidRPr="00D42F01">
              <w:rPr>
                <w:rFonts w:ascii="Arial" w:hAnsi="Arial" w:cs="Arial"/>
                <w:color w:val="000000"/>
                <w:sz w:val="20"/>
                <w:szCs w:val="20"/>
              </w:rPr>
              <w:t>Waukesha</w:t>
            </w:r>
          </w:p>
        </w:tc>
        <w:tc>
          <w:tcPr>
            <w:tcW w:w="963" w:type="dxa"/>
            <w:tcBorders>
              <w:top w:val="nil"/>
              <w:left w:val="nil"/>
              <w:bottom w:val="nil"/>
              <w:right w:val="nil"/>
            </w:tcBorders>
            <w:shd w:val="clear" w:color="auto" w:fill="D5DCE4" w:themeFill="text2" w:themeFillTint="33"/>
            <w:tcMar>
              <w:top w:w="0" w:type="dxa"/>
              <w:left w:w="108" w:type="dxa"/>
              <w:bottom w:w="0" w:type="dxa"/>
              <w:right w:w="108" w:type="dxa"/>
            </w:tcMar>
            <w:vAlign w:val="center"/>
          </w:tcPr>
          <w:p w14:paraId="5BDD180F" w14:textId="77777777" w:rsidR="00001ECE" w:rsidRPr="00D42F01" w:rsidRDefault="00001ECE" w:rsidP="00001ECE">
            <w:pPr>
              <w:spacing w:line="252" w:lineRule="auto"/>
              <w:ind w:left="44" w:right="62"/>
              <w:jc w:val="right"/>
              <w:rPr>
                <w:rFonts w:ascii="Arial" w:hAnsi="Arial" w:cs="Arial"/>
                <w:sz w:val="20"/>
                <w:szCs w:val="20"/>
              </w:rPr>
            </w:pPr>
            <w:r>
              <w:rPr>
                <w:rFonts w:ascii="Arial" w:hAnsi="Arial" w:cs="Arial"/>
                <w:sz w:val="20"/>
                <w:szCs w:val="20"/>
              </w:rPr>
              <w:t>184</w:t>
            </w:r>
          </w:p>
        </w:tc>
        <w:tc>
          <w:tcPr>
            <w:tcW w:w="922" w:type="dxa"/>
            <w:tcBorders>
              <w:top w:val="nil"/>
              <w:left w:val="nil"/>
              <w:bottom w:val="nil"/>
              <w:right w:val="nil"/>
            </w:tcBorders>
            <w:shd w:val="clear" w:color="auto" w:fill="D5DCE4" w:themeFill="text2" w:themeFillTint="33"/>
            <w:vAlign w:val="center"/>
          </w:tcPr>
          <w:p w14:paraId="4BF0E2AC" w14:textId="77777777" w:rsidR="00001ECE" w:rsidRPr="00D42F01" w:rsidRDefault="00001ECE" w:rsidP="00001ECE">
            <w:pPr>
              <w:spacing w:line="252" w:lineRule="auto"/>
              <w:ind w:right="58"/>
              <w:jc w:val="right"/>
              <w:rPr>
                <w:rFonts w:ascii="Arial" w:hAnsi="Arial" w:cs="Arial"/>
                <w:sz w:val="20"/>
                <w:szCs w:val="20"/>
              </w:rPr>
            </w:pPr>
            <w:r>
              <w:rPr>
                <w:rFonts w:ascii="Arial" w:hAnsi="Arial" w:cs="Arial"/>
                <w:sz w:val="20"/>
                <w:szCs w:val="20"/>
              </w:rPr>
              <w:t>211</w:t>
            </w:r>
          </w:p>
        </w:tc>
        <w:tc>
          <w:tcPr>
            <w:tcW w:w="993" w:type="dxa"/>
            <w:tcBorders>
              <w:top w:val="nil"/>
              <w:left w:val="nil"/>
              <w:bottom w:val="nil"/>
              <w:right w:val="nil"/>
            </w:tcBorders>
            <w:shd w:val="clear" w:color="auto" w:fill="D5DCE4" w:themeFill="text2" w:themeFillTint="33"/>
            <w:vAlign w:val="center"/>
          </w:tcPr>
          <w:p w14:paraId="7334B78C" w14:textId="77777777" w:rsidR="00001ECE" w:rsidRPr="00D42F01" w:rsidRDefault="00001ECE" w:rsidP="00001ECE">
            <w:pPr>
              <w:spacing w:line="252" w:lineRule="auto"/>
              <w:ind w:right="195"/>
              <w:jc w:val="right"/>
              <w:rPr>
                <w:rFonts w:ascii="Arial" w:hAnsi="Arial" w:cs="Arial"/>
                <w:sz w:val="20"/>
                <w:szCs w:val="20"/>
              </w:rPr>
            </w:pPr>
            <w:r>
              <w:rPr>
                <w:rFonts w:ascii="Arial" w:hAnsi="Arial" w:cs="Arial"/>
                <w:sz w:val="20"/>
                <w:szCs w:val="20"/>
              </w:rPr>
              <w:t>14.7%</w:t>
            </w:r>
          </w:p>
        </w:tc>
      </w:tr>
      <w:tr w:rsidR="00001ECE" w:rsidRPr="00D42F01" w14:paraId="711CBC01" w14:textId="77777777" w:rsidTr="00001ECE">
        <w:trPr>
          <w:trHeight w:val="288"/>
        </w:trPr>
        <w:tc>
          <w:tcPr>
            <w:tcW w:w="1452" w:type="dxa"/>
            <w:tcBorders>
              <w:top w:val="nil"/>
              <w:left w:val="nil"/>
              <w:bottom w:val="nil"/>
              <w:right w:val="nil"/>
            </w:tcBorders>
            <w:tcMar>
              <w:top w:w="0" w:type="dxa"/>
              <w:left w:w="108" w:type="dxa"/>
              <w:bottom w:w="0" w:type="dxa"/>
              <w:right w:w="108" w:type="dxa"/>
            </w:tcMar>
            <w:vAlign w:val="center"/>
          </w:tcPr>
          <w:p w14:paraId="6A89D129" w14:textId="77777777" w:rsidR="00001ECE" w:rsidRPr="00D42F01" w:rsidRDefault="00001ECE" w:rsidP="00001ECE">
            <w:pPr>
              <w:spacing w:line="252" w:lineRule="auto"/>
              <w:ind w:left="62" w:right="100"/>
              <w:rPr>
                <w:rFonts w:ascii="Arial" w:hAnsi="Arial" w:cs="Arial"/>
                <w:sz w:val="20"/>
                <w:szCs w:val="20"/>
              </w:rPr>
            </w:pPr>
            <w:r w:rsidRPr="00D42F01">
              <w:rPr>
                <w:rFonts w:ascii="Arial" w:hAnsi="Arial" w:cs="Arial"/>
                <w:sz w:val="20"/>
                <w:szCs w:val="20"/>
              </w:rPr>
              <w:t>Ozaukee</w:t>
            </w:r>
          </w:p>
        </w:tc>
        <w:tc>
          <w:tcPr>
            <w:tcW w:w="963" w:type="dxa"/>
            <w:tcBorders>
              <w:top w:val="nil"/>
              <w:left w:val="nil"/>
              <w:bottom w:val="nil"/>
              <w:right w:val="nil"/>
            </w:tcBorders>
            <w:tcMar>
              <w:top w:w="0" w:type="dxa"/>
              <w:left w:w="108" w:type="dxa"/>
              <w:bottom w:w="0" w:type="dxa"/>
              <w:right w:w="108" w:type="dxa"/>
            </w:tcMar>
            <w:vAlign w:val="center"/>
          </w:tcPr>
          <w:p w14:paraId="4429FF97" w14:textId="77777777" w:rsidR="00001ECE" w:rsidRPr="00D42F01" w:rsidRDefault="00001ECE" w:rsidP="00001ECE">
            <w:pPr>
              <w:spacing w:line="252" w:lineRule="auto"/>
              <w:ind w:left="44" w:right="62"/>
              <w:jc w:val="right"/>
              <w:rPr>
                <w:rFonts w:ascii="Arial" w:hAnsi="Arial" w:cs="Arial"/>
                <w:sz w:val="20"/>
                <w:szCs w:val="20"/>
              </w:rPr>
            </w:pPr>
            <w:r>
              <w:rPr>
                <w:rFonts w:ascii="Arial" w:hAnsi="Arial" w:cs="Arial"/>
                <w:sz w:val="20"/>
                <w:szCs w:val="20"/>
              </w:rPr>
              <w:t>54</w:t>
            </w:r>
          </w:p>
        </w:tc>
        <w:tc>
          <w:tcPr>
            <w:tcW w:w="922" w:type="dxa"/>
            <w:tcBorders>
              <w:top w:val="nil"/>
              <w:left w:val="nil"/>
              <w:bottom w:val="nil"/>
              <w:right w:val="nil"/>
            </w:tcBorders>
            <w:vAlign w:val="center"/>
          </w:tcPr>
          <w:p w14:paraId="1A3F1AB3" w14:textId="77777777" w:rsidR="00001ECE" w:rsidRPr="00D42F01" w:rsidRDefault="00001ECE" w:rsidP="00001ECE">
            <w:pPr>
              <w:spacing w:line="252" w:lineRule="auto"/>
              <w:ind w:right="58"/>
              <w:jc w:val="right"/>
              <w:rPr>
                <w:rFonts w:ascii="Arial" w:hAnsi="Arial" w:cs="Arial"/>
                <w:sz w:val="20"/>
                <w:szCs w:val="20"/>
              </w:rPr>
            </w:pPr>
            <w:r>
              <w:rPr>
                <w:rFonts w:ascii="Arial" w:hAnsi="Arial" w:cs="Arial"/>
                <w:sz w:val="20"/>
                <w:szCs w:val="20"/>
              </w:rPr>
              <w:t>62</w:t>
            </w:r>
          </w:p>
        </w:tc>
        <w:tc>
          <w:tcPr>
            <w:tcW w:w="993" w:type="dxa"/>
            <w:tcBorders>
              <w:top w:val="nil"/>
              <w:left w:val="nil"/>
              <w:bottom w:val="nil"/>
              <w:right w:val="nil"/>
            </w:tcBorders>
            <w:vAlign w:val="center"/>
          </w:tcPr>
          <w:p w14:paraId="01F00C83" w14:textId="77777777" w:rsidR="00001ECE" w:rsidRPr="00D42F01" w:rsidRDefault="00001ECE" w:rsidP="00001ECE">
            <w:pPr>
              <w:spacing w:line="252" w:lineRule="auto"/>
              <w:ind w:right="195"/>
              <w:jc w:val="right"/>
              <w:rPr>
                <w:rFonts w:ascii="Arial" w:hAnsi="Arial" w:cs="Arial"/>
                <w:sz w:val="20"/>
                <w:szCs w:val="20"/>
              </w:rPr>
            </w:pPr>
            <w:r>
              <w:rPr>
                <w:rFonts w:ascii="Arial" w:hAnsi="Arial" w:cs="Arial"/>
                <w:sz w:val="20"/>
                <w:szCs w:val="20"/>
              </w:rPr>
              <w:t>14.8%</w:t>
            </w:r>
          </w:p>
        </w:tc>
      </w:tr>
      <w:tr w:rsidR="00001ECE" w:rsidRPr="00D42F01" w14:paraId="01EB6E6E" w14:textId="77777777" w:rsidTr="00001ECE">
        <w:trPr>
          <w:trHeight w:val="288"/>
        </w:trPr>
        <w:tc>
          <w:tcPr>
            <w:tcW w:w="1452" w:type="dxa"/>
            <w:tcBorders>
              <w:top w:val="nil"/>
              <w:left w:val="nil"/>
              <w:bottom w:val="single" w:sz="4" w:space="0" w:color="auto"/>
              <w:right w:val="nil"/>
            </w:tcBorders>
            <w:shd w:val="clear" w:color="auto" w:fill="D5DCE4" w:themeFill="text2" w:themeFillTint="33"/>
            <w:tcMar>
              <w:top w:w="0" w:type="dxa"/>
              <w:left w:w="108" w:type="dxa"/>
              <w:bottom w:w="0" w:type="dxa"/>
              <w:right w:w="108" w:type="dxa"/>
            </w:tcMar>
            <w:vAlign w:val="center"/>
          </w:tcPr>
          <w:p w14:paraId="766557F7" w14:textId="77777777" w:rsidR="00001ECE" w:rsidRPr="00D42F01" w:rsidRDefault="00001ECE" w:rsidP="00001ECE">
            <w:pPr>
              <w:spacing w:line="252" w:lineRule="auto"/>
              <w:ind w:left="62" w:right="100"/>
              <w:rPr>
                <w:rFonts w:ascii="Arial" w:hAnsi="Arial" w:cs="Arial"/>
                <w:sz w:val="20"/>
                <w:szCs w:val="20"/>
              </w:rPr>
            </w:pPr>
            <w:r w:rsidRPr="00D42F01">
              <w:rPr>
                <w:rFonts w:ascii="Arial" w:hAnsi="Arial" w:cs="Arial"/>
                <w:color w:val="000000"/>
                <w:sz w:val="20"/>
                <w:szCs w:val="20"/>
              </w:rPr>
              <w:t>Washington</w:t>
            </w:r>
          </w:p>
        </w:tc>
        <w:tc>
          <w:tcPr>
            <w:tcW w:w="963" w:type="dxa"/>
            <w:tcBorders>
              <w:top w:val="nil"/>
              <w:left w:val="nil"/>
              <w:bottom w:val="single" w:sz="4" w:space="0" w:color="auto"/>
              <w:right w:val="nil"/>
            </w:tcBorders>
            <w:shd w:val="clear" w:color="auto" w:fill="D5DCE4" w:themeFill="text2" w:themeFillTint="33"/>
            <w:tcMar>
              <w:top w:w="0" w:type="dxa"/>
              <w:left w:w="108" w:type="dxa"/>
              <w:bottom w:w="0" w:type="dxa"/>
              <w:right w:w="108" w:type="dxa"/>
            </w:tcMar>
            <w:vAlign w:val="center"/>
          </w:tcPr>
          <w:p w14:paraId="28EC9B57" w14:textId="77777777" w:rsidR="00001ECE" w:rsidRPr="00D42F01" w:rsidRDefault="00001ECE" w:rsidP="00001ECE">
            <w:pPr>
              <w:spacing w:line="252" w:lineRule="auto"/>
              <w:ind w:left="44" w:right="62"/>
              <w:jc w:val="right"/>
              <w:rPr>
                <w:rFonts w:ascii="Arial" w:hAnsi="Arial" w:cs="Arial"/>
                <w:sz w:val="20"/>
                <w:szCs w:val="20"/>
              </w:rPr>
            </w:pPr>
            <w:r>
              <w:rPr>
                <w:rFonts w:ascii="Arial" w:hAnsi="Arial" w:cs="Arial"/>
                <w:sz w:val="20"/>
                <w:szCs w:val="20"/>
              </w:rPr>
              <w:t>81</w:t>
            </w:r>
          </w:p>
        </w:tc>
        <w:tc>
          <w:tcPr>
            <w:tcW w:w="922" w:type="dxa"/>
            <w:tcBorders>
              <w:top w:val="nil"/>
              <w:left w:val="nil"/>
              <w:bottom w:val="single" w:sz="4" w:space="0" w:color="auto"/>
              <w:right w:val="nil"/>
            </w:tcBorders>
            <w:shd w:val="clear" w:color="auto" w:fill="D5DCE4" w:themeFill="text2" w:themeFillTint="33"/>
            <w:vAlign w:val="center"/>
          </w:tcPr>
          <w:p w14:paraId="18100EC8" w14:textId="77777777" w:rsidR="00001ECE" w:rsidRPr="00D42F01" w:rsidRDefault="00001ECE" w:rsidP="00001ECE">
            <w:pPr>
              <w:spacing w:line="252" w:lineRule="auto"/>
              <w:ind w:right="58"/>
              <w:jc w:val="right"/>
              <w:rPr>
                <w:rFonts w:ascii="Arial" w:hAnsi="Arial" w:cs="Arial"/>
                <w:sz w:val="20"/>
                <w:szCs w:val="20"/>
              </w:rPr>
            </w:pPr>
            <w:r>
              <w:rPr>
                <w:rFonts w:ascii="Arial" w:hAnsi="Arial" w:cs="Arial"/>
                <w:sz w:val="20"/>
                <w:szCs w:val="20"/>
              </w:rPr>
              <w:t>67</w:t>
            </w:r>
          </w:p>
        </w:tc>
        <w:tc>
          <w:tcPr>
            <w:tcW w:w="993" w:type="dxa"/>
            <w:tcBorders>
              <w:top w:val="nil"/>
              <w:left w:val="nil"/>
              <w:bottom w:val="nil"/>
              <w:right w:val="nil"/>
            </w:tcBorders>
            <w:shd w:val="clear" w:color="auto" w:fill="D5DCE4" w:themeFill="text2" w:themeFillTint="33"/>
            <w:vAlign w:val="center"/>
          </w:tcPr>
          <w:p w14:paraId="3B13CEA5" w14:textId="77777777" w:rsidR="00001ECE" w:rsidRPr="00D42F01" w:rsidRDefault="00001ECE" w:rsidP="00001ECE">
            <w:pPr>
              <w:spacing w:line="252" w:lineRule="auto"/>
              <w:ind w:right="195"/>
              <w:jc w:val="right"/>
              <w:rPr>
                <w:rFonts w:ascii="Arial" w:hAnsi="Arial" w:cs="Arial"/>
                <w:sz w:val="20"/>
                <w:szCs w:val="20"/>
              </w:rPr>
            </w:pPr>
            <w:r>
              <w:rPr>
                <w:rFonts w:ascii="Arial" w:hAnsi="Arial" w:cs="Arial"/>
                <w:sz w:val="20"/>
                <w:szCs w:val="20"/>
              </w:rPr>
              <w:t>-17.3%</w:t>
            </w:r>
          </w:p>
        </w:tc>
      </w:tr>
      <w:tr w:rsidR="00001ECE" w:rsidRPr="00D42F01" w14:paraId="7B20F3CA" w14:textId="77777777" w:rsidTr="00001ECE">
        <w:trPr>
          <w:trHeight w:val="288"/>
        </w:trPr>
        <w:tc>
          <w:tcPr>
            <w:tcW w:w="1452" w:type="dxa"/>
            <w:tcBorders>
              <w:top w:val="single" w:sz="4" w:space="0" w:color="auto"/>
              <w:left w:val="nil"/>
              <w:bottom w:val="nil"/>
              <w:right w:val="nil"/>
            </w:tcBorders>
            <w:tcMar>
              <w:top w:w="0" w:type="dxa"/>
              <w:left w:w="108" w:type="dxa"/>
              <w:bottom w:w="0" w:type="dxa"/>
              <w:right w:w="108" w:type="dxa"/>
            </w:tcMar>
            <w:vAlign w:val="center"/>
          </w:tcPr>
          <w:p w14:paraId="3FF8274F" w14:textId="77777777" w:rsidR="00001ECE" w:rsidRPr="00D42F01" w:rsidRDefault="00001ECE" w:rsidP="00001ECE">
            <w:pPr>
              <w:spacing w:line="252" w:lineRule="auto"/>
              <w:ind w:left="62" w:right="100"/>
              <w:rPr>
                <w:rFonts w:ascii="Arial" w:hAnsi="Arial" w:cs="Arial"/>
                <w:sz w:val="20"/>
                <w:szCs w:val="20"/>
              </w:rPr>
            </w:pPr>
            <w:r w:rsidRPr="00D42F01">
              <w:rPr>
                <w:rFonts w:ascii="Arial" w:hAnsi="Arial" w:cs="Arial"/>
                <w:sz w:val="20"/>
                <w:szCs w:val="20"/>
              </w:rPr>
              <w:t>Metro Area</w:t>
            </w:r>
          </w:p>
        </w:tc>
        <w:tc>
          <w:tcPr>
            <w:tcW w:w="963" w:type="dxa"/>
            <w:tcBorders>
              <w:top w:val="single" w:sz="4" w:space="0" w:color="auto"/>
              <w:left w:val="nil"/>
              <w:bottom w:val="nil"/>
              <w:right w:val="nil"/>
            </w:tcBorders>
            <w:tcMar>
              <w:top w:w="0" w:type="dxa"/>
              <w:left w:w="108" w:type="dxa"/>
              <w:bottom w:w="0" w:type="dxa"/>
              <w:right w:w="108" w:type="dxa"/>
            </w:tcMar>
            <w:vAlign w:val="center"/>
          </w:tcPr>
          <w:p w14:paraId="2E08E821" w14:textId="77777777" w:rsidR="00001ECE" w:rsidRPr="00D42F01" w:rsidRDefault="00001ECE" w:rsidP="00001ECE">
            <w:pPr>
              <w:spacing w:line="252" w:lineRule="auto"/>
              <w:ind w:left="44" w:right="62"/>
              <w:jc w:val="right"/>
              <w:rPr>
                <w:rFonts w:ascii="Arial" w:hAnsi="Arial" w:cs="Arial"/>
                <w:sz w:val="20"/>
                <w:szCs w:val="20"/>
              </w:rPr>
            </w:pPr>
            <w:r>
              <w:rPr>
                <w:rFonts w:ascii="Arial" w:hAnsi="Arial" w:cs="Arial"/>
                <w:sz w:val="20"/>
                <w:szCs w:val="20"/>
              </w:rPr>
              <w:t>843</w:t>
            </w:r>
          </w:p>
        </w:tc>
        <w:tc>
          <w:tcPr>
            <w:tcW w:w="922" w:type="dxa"/>
            <w:tcBorders>
              <w:top w:val="single" w:sz="4" w:space="0" w:color="auto"/>
              <w:left w:val="nil"/>
              <w:bottom w:val="nil"/>
              <w:right w:val="nil"/>
            </w:tcBorders>
            <w:vAlign w:val="center"/>
          </w:tcPr>
          <w:p w14:paraId="26BE1015" w14:textId="77777777" w:rsidR="00001ECE" w:rsidRPr="00D42F01" w:rsidRDefault="00001ECE" w:rsidP="00001ECE">
            <w:pPr>
              <w:spacing w:line="252" w:lineRule="auto"/>
              <w:ind w:right="58"/>
              <w:jc w:val="right"/>
              <w:rPr>
                <w:rFonts w:ascii="Arial" w:hAnsi="Arial" w:cs="Arial"/>
                <w:sz w:val="20"/>
                <w:szCs w:val="20"/>
              </w:rPr>
            </w:pPr>
            <w:r>
              <w:rPr>
                <w:rFonts w:ascii="Arial" w:hAnsi="Arial" w:cs="Arial"/>
                <w:sz w:val="20"/>
                <w:szCs w:val="20"/>
              </w:rPr>
              <w:t>807</w:t>
            </w:r>
          </w:p>
        </w:tc>
        <w:tc>
          <w:tcPr>
            <w:tcW w:w="993" w:type="dxa"/>
            <w:tcBorders>
              <w:top w:val="nil"/>
              <w:left w:val="nil"/>
              <w:bottom w:val="nil"/>
              <w:right w:val="nil"/>
            </w:tcBorders>
            <w:vAlign w:val="center"/>
          </w:tcPr>
          <w:p w14:paraId="647BC427" w14:textId="77777777" w:rsidR="00001ECE" w:rsidRPr="00D42F01" w:rsidRDefault="00001ECE" w:rsidP="00001ECE">
            <w:pPr>
              <w:spacing w:line="252" w:lineRule="auto"/>
              <w:ind w:right="195"/>
              <w:jc w:val="right"/>
              <w:rPr>
                <w:rFonts w:ascii="Arial" w:hAnsi="Arial" w:cs="Arial"/>
                <w:sz w:val="20"/>
                <w:szCs w:val="20"/>
              </w:rPr>
            </w:pPr>
            <w:r>
              <w:rPr>
                <w:rFonts w:ascii="Arial" w:hAnsi="Arial" w:cs="Arial"/>
                <w:sz w:val="20"/>
                <w:szCs w:val="20"/>
              </w:rPr>
              <w:t>-4.3%</w:t>
            </w:r>
          </w:p>
        </w:tc>
      </w:tr>
      <w:tr w:rsidR="00001ECE" w:rsidRPr="00D42F01" w14:paraId="3492BA7A" w14:textId="77777777" w:rsidTr="00001ECE">
        <w:trPr>
          <w:trHeight w:val="86"/>
        </w:trPr>
        <w:tc>
          <w:tcPr>
            <w:tcW w:w="4330" w:type="dxa"/>
            <w:gridSpan w:val="4"/>
            <w:tcBorders>
              <w:top w:val="nil"/>
              <w:left w:val="nil"/>
              <w:bottom w:val="nil"/>
              <w:right w:val="nil"/>
            </w:tcBorders>
            <w:shd w:val="clear" w:color="auto" w:fill="D5DCE4" w:themeFill="text2" w:themeFillTint="33"/>
            <w:tcMar>
              <w:top w:w="0" w:type="dxa"/>
              <w:left w:w="108" w:type="dxa"/>
              <w:bottom w:w="0" w:type="dxa"/>
              <w:right w:w="108" w:type="dxa"/>
            </w:tcMar>
            <w:vAlign w:val="center"/>
          </w:tcPr>
          <w:p w14:paraId="3A35949A" w14:textId="77777777" w:rsidR="00001ECE" w:rsidRPr="00620A04" w:rsidRDefault="00001ECE" w:rsidP="00001ECE">
            <w:pPr>
              <w:spacing w:line="252" w:lineRule="auto"/>
              <w:ind w:right="195"/>
              <w:jc w:val="right"/>
              <w:rPr>
                <w:rFonts w:ascii="Arial" w:hAnsi="Arial" w:cs="Arial"/>
                <w:sz w:val="10"/>
                <w:szCs w:val="10"/>
              </w:rPr>
            </w:pPr>
          </w:p>
        </w:tc>
      </w:tr>
      <w:tr w:rsidR="00001ECE" w:rsidRPr="00D42F01" w14:paraId="5FF7C312" w14:textId="77777777" w:rsidTr="00001ECE">
        <w:trPr>
          <w:trHeight w:val="288"/>
        </w:trPr>
        <w:tc>
          <w:tcPr>
            <w:tcW w:w="1452" w:type="dxa"/>
            <w:tcBorders>
              <w:top w:val="nil"/>
              <w:left w:val="nil"/>
              <w:bottom w:val="nil"/>
              <w:right w:val="nil"/>
            </w:tcBorders>
            <w:tcMar>
              <w:top w:w="0" w:type="dxa"/>
              <w:left w:w="108" w:type="dxa"/>
              <w:bottom w:w="0" w:type="dxa"/>
              <w:right w:w="108" w:type="dxa"/>
            </w:tcMar>
            <w:vAlign w:val="center"/>
          </w:tcPr>
          <w:p w14:paraId="7C08AEB0" w14:textId="77777777" w:rsidR="00001ECE" w:rsidRPr="00D42F01" w:rsidRDefault="00001ECE" w:rsidP="00001ECE">
            <w:pPr>
              <w:spacing w:line="252" w:lineRule="auto"/>
              <w:ind w:left="62" w:right="100"/>
              <w:rPr>
                <w:rFonts w:ascii="Arial" w:hAnsi="Arial" w:cs="Arial"/>
                <w:sz w:val="20"/>
                <w:szCs w:val="20"/>
              </w:rPr>
            </w:pPr>
            <w:r w:rsidRPr="00D42F01">
              <w:rPr>
                <w:rFonts w:ascii="Arial" w:hAnsi="Arial" w:cs="Arial"/>
                <w:sz w:val="20"/>
                <w:szCs w:val="20"/>
              </w:rPr>
              <w:t>Sheboygan</w:t>
            </w:r>
          </w:p>
        </w:tc>
        <w:tc>
          <w:tcPr>
            <w:tcW w:w="963" w:type="dxa"/>
            <w:tcBorders>
              <w:top w:val="nil"/>
              <w:left w:val="nil"/>
              <w:bottom w:val="nil"/>
              <w:right w:val="nil"/>
            </w:tcBorders>
            <w:tcMar>
              <w:top w:w="0" w:type="dxa"/>
              <w:left w:w="108" w:type="dxa"/>
              <w:bottom w:w="0" w:type="dxa"/>
              <w:right w:w="108" w:type="dxa"/>
            </w:tcMar>
            <w:vAlign w:val="center"/>
          </w:tcPr>
          <w:p w14:paraId="74228401" w14:textId="77777777" w:rsidR="00001ECE" w:rsidRPr="00D42F01" w:rsidRDefault="00001ECE" w:rsidP="00001ECE">
            <w:pPr>
              <w:spacing w:line="252" w:lineRule="auto"/>
              <w:ind w:left="44" w:right="62"/>
              <w:jc w:val="right"/>
              <w:rPr>
                <w:rFonts w:ascii="Arial" w:hAnsi="Arial" w:cs="Arial"/>
                <w:sz w:val="20"/>
                <w:szCs w:val="20"/>
              </w:rPr>
            </w:pPr>
            <w:r>
              <w:rPr>
                <w:rFonts w:ascii="Arial" w:hAnsi="Arial" w:cs="Arial"/>
                <w:sz w:val="20"/>
                <w:szCs w:val="20"/>
              </w:rPr>
              <w:t>54</w:t>
            </w:r>
          </w:p>
        </w:tc>
        <w:tc>
          <w:tcPr>
            <w:tcW w:w="922" w:type="dxa"/>
            <w:tcBorders>
              <w:top w:val="nil"/>
              <w:left w:val="nil"/>
              <w:bottom w:val="nil"/>
              <w:right w:val="nil"/>
            </w:tcBorders>
            <w:vAlign w:val="center"/>
          </w:tcPr>
          <w:p w14:paraId="6B2F141F" w14:textId="77777777" w:rsidR="00001ECE" w:rsidRPr="00D42F01" w:rsidRDefault="00001ECE" w:rsidP="00001ECE">
            <w:pPr>
              <w:spacing w:line="252" w:lineRule="auto"/>
              <w:ind w:right="62"/>
              <w:jc w:val="right"/>
              <w:rPr>
                <w:rFonts w:ascii="Arial" w:hAnsi="Arial" w:cs="Arial"/>
                <w:sz w:val="20"/>
                <w:szCs w:val="20"/>
              </w:rPr>
            </w:pPr>
            <w:r>
              <w:rPr>
                <w:rFonts w:ascii="Arial" w:hAnsi="Arial" w:cs="Arial"/>
                <w:sz w:val="20"/>
                <w:szCs w:val="20"/>
              </w:rPr>
              <w:t>65</w:t>
            </w:r>
          </w:p>
        </w:tc>
        <w:tc>
          <w:tcPr>
            <w:tcW w:w="993" w:type="dxa"/>
            <w:tcBorders>
              <w:top w:val="nil"/>
              <w:left w:val="nil"/>
              <w:bottom w:val="nil"/>
              <w:right w:val="nil"/>
            </w:tcBorders>
            <w:vAlign w:val="center"/>
          </w:tcPr>
          <w:p w14:paraId="0823C98C" w14:textId="77777777" w:rsidR="00001ECE" w:rsidRPr="00D42F01" w:rsidRDefault="00001ECE" w:rsidP="00001ECE">
            <w:pPr>
              <w:spacing w:line="252" w:lineRule="auto"/>
              <w:ind w:right="195"/>
              <w:jc w:val="right"/>
              <w:rPr>
                <w:rFonts w:ascii="Arial" w:hAnsi="Arial" w:cs="Arial"/>
                <w:sz w:val="20"/>
                <w:szCs w:val="20"/>
              </w:rPr>
            </w:pPr>
            <w:r>
              <w:rPr>
                <w:rFonts w:ascii="Arial" w:hAnsi="Arial" w:cs="Arial"/>
                <w:sz w:val="20"/>
                <w:szCs w:val="20"/>
              </w:rPr>
              <w:t>20.4%</w:t>
            </w:r>
          </w:p>
        </w:tc>
      </w:tr>
      <w:tr w:rsidR="00001ECE" w:rsidRPr="00D42F01" w14:paraId="3BBCC5B7" w14:textId="77777777" w:rsidTr="00001ECE">
        <w:trPr>
          <w:trHeight w:val="288"/>
        </w:trPr>
        <w:tc>
          <w:tcPr>
            <w:tcW w:w="1452" w:type="dxa"/>
            <w:tcBorders>
              <w:top w:val="nil"/>
              <w:left w:val="nil"/>
              <w:bottom w:val="nil"/>
              <w:right w:val="nil"/>
            </w:tcBorders>
            <w:shd w:val="clear" w:color="auto" w:fill="D5DCE4" w:themeFill="text2" w:themeFillTint="33"/>
            <w:tcMar>
              <w:top w:w="0" w:type="dxa"/>
              <w:left w:w="108" w:type="dxa"/>
              <w:bottom w:w="0" w:type="dxa"/>
              <w:right w:w="108" w:type="dxa"/>
            </w:tcMar>
            <w:vAlign w:val="center"/>
          </w:tcPr>
          <w:p w14:paraId="3F0360C2" w14:textId="77777777" w:rsidR="00001ECE" w:rsidRPr="00D42F01" w:rsidRDefault="00001ECE" w:rsidP="00001ECE">
            <w:pPr>
              <w:spacing w:line="252" w:lineRule="auto"/>
              <w:ind w:left="62" w:right="100"/>
              <w:rPr>
                <w:rFonts w:ascii="Arial" w:hAnsi="Arial" w:cs="Arial"/>
                <w:sz w:val="20"/>
                <w:szCs w:val="20"/>
              </w:rPr>
            </w:pPr>
            <w:r w:rsidRPr="00D42F01">
              <w:rPr>
                <w:rFonts w:ascii="Arial" w:hAnsi="Arial" w:cs="Arial"/>
                <w:sz w:val="20"/>
                <w:szCs w:val="20"/>
              </w:rPr>
              <w:t>Racine</w:t>
            </w:r>
          </w:p>
        </w:tc>
        <w:tc>
          <w:tcPr>
            <w:tcW w:w="963" w:type="dxa"/>
            <w:tcBorders>
              <w:top w:val="nil"/>
              <w:left w:val="nil"/>
              <w:bottom w:val="nil"/>
              <w:right w:val="nil"/>
            </w:tcBorders>
            <w:shd w:val="clear" w:color="auto" w:fill="D5DCE4" w:themeFill="text2" w:themeFillTint="33"/>
            <w:tcMar>
              <w:top w:w="0" w:type="dxa"/>
              <w:left w:w="108" w:type="dxa"/>
              <w:bottom w:w="0" w:type="dxa"/>
              <w:right w:w="108" w:type="dxa"/>
            </w:tcMar>
            <w:vAlign w:val="center"/>
          </w:tcPr>
          <w:p w14:paraId="7FA3B66F" w14:textId="77777777" w:rsidR="00001ECE" w:rsidRPr="00D42F01" w:rsidRDefault="00001ECE" w:rsidP="00001ECE">
            <w:pPr>
              <w:spacing w:line="252" w:lineRule="auto"/>
              <w:ind w:left="44" w:right="62"/>
              <w:jc w:val="right"/>
              <w:rPr>
                <w:rFonts w:ascii="Arial" w:hAnsi="Arial" w:cs="Arial"/>
                <w:sz w:val="20"/>
                <w:szCs w:val="20"/>
              </w:rPr>
            </w:pPr>
            <w:r>
              <w:rPr>
                <w:rFonts w:ascii="Arial" w:hAnsi="Arial" w:cs="Arial"/>
                <w:sz w:val="20"/>
                <w:szCs w:val="20"/>
              </w:rPr>
              <w:t>110</w:t>
            </w:r>
          </w:p>
        </w:tc>
        <w:tc>
          <w:tcPr>
            <w:tcW w:w="922" w:type="dxa"/>
            <w:tcBorders>
              <w:top w:val="nil"/>
              <w:left w:val="nil"/>
              <w:bottom w:val="nil"/>
              <w:right w:val="nil"/>
            </w:tcBorders>
            <w:shd w:val="clear" w:color="auto" w:fill="D5DCE4" w:themeFill="text2" w:themeFillTint="33"/>
            <w:vAlign w:val="center"/>
          </w:tcPr>
          <w:p w14:paraId="469AB6DC" w14:textId="77777777" w:rsidR="00001ECE" w:rsidRPr="00D42F01" w:rsidRDefault="00001ECE" w:rsidP="00001ECE">
            <w:pPr>
              <w:spacing w:line="252" w:lineRule="auto"/>
              <w:ind w:right="62"/>
              <w:jc w:val="right"/>
              <w:rPr>
                <w:rFonts w:ascii="Arial" w:hAnsi="Arial" w:cs="Arial"/>
                <w:sz w:val="20"/>
                <w:szCs w:val="20"/>
              </w:rPr>
            </w:pPr>
            <w:r>
              <w:rPr>
                <w:rFonts w:ascii="Arial" w:hAnsi="Arial" w:cs="Arial"/>
                <w:sz w:val="20"/>
                <w:szCs w:val="20"/>
              </w:rPr>
              <w:t>141</w:t>
            </w:r>
          </w:p>
        </w:tc>
        <w:tc>
          <w:tcPr>
            <w:tcW w:w="993" w:type="dxa"/>
            <w:tcBorders>
              <w:top w:val="nil"/>
              <w:left w:val="nil"/>
              <w:bottom w:val="nil"/>
              <w:right w:val="nil"/>
            </w:tcBorders>
            <w:shd w:val="clear" w:color="auto" w:fill="D5DCE4" w:themeFill="text2" w:themeFillTint="33"/>
            <w:vAlign w:val="center"/>
          </w:tcPr>
          <w:p w14:paraId="3865FD8C" w14:textId="77777777" w:rsidR="00001ECE" w:rsidRPr="00D42F01" w:rsidRDefault="00001ECE" w:rsidP="00001ECE">
            <w:pPr>
              <w:spacing w:line="252" w:lineRule="auto"/>
              <w:ind w:right="195"/>
              <w:jc w:val="right"/>
              <w:rPr>
                <w:rFonts w:ascii="Arial" w:hAnsi="Arial" w:cs="Arial"/>
                <w:sz w:val="20"/>
                <w:szCs w:val="20"/>
              </w:rPr>
            </w:pPr>
            <w:r>
              <w:rPr>
                <w:rFonts w:ascii="Arial" w:hAnsi="Arial" w:cs="Arial"/>
                <w:sz w:val="20"/>
                <w:szCs w:val="20"/>
              </w:rPr>
              <w:t>28.2%</w:t>
            </w:r>
          </w:p>
        </w:tc>
      </w:tr>
      <w:tr w:rsidR="00001ECE" w:rsidRPr="00D42F01" w14:paraId="6BCEFEB5" w14:textId="77777777" w:rsidTr="00001ECE">
        <w:trPr>
          <w:trHeight w:val="288"/>
        </w:trPr>
        <w:tc>
          <w:tcPr>
            <w:tcW w:w="1452" w:type="dxa"/>
            <w:tcBorders>
              <w:top w:val="nil"/>
              <w:left w:val="nil"/>
              <w:bottom w:val="nil"/>
              <w:right w:val="nil"/>
            </w:tcBorders>
            <w:tcMar>
              <w:top w:w="0" w:type="dxa"/>
              <w:left w:w="108" w:type="dxa"/>
              <w:bottom w:w="0" w:type="dxa"/>
              <w:right w:w="108" w:type="dxa"/>
            </w:tcMar>
            <w:vAlign w:val="center"/>
          </w:tcPr>
          <w:p w14:paraId="53F9DFDC" w14:textId="77777777" w:rsidR="00001ECE" w:rsidRPr="00D42F01" w:rsidRDefault="00001ECE" w:rsidP="00001ECE">
            <w:pPr>
              <w:spacing w:line="252" w:lineRule="auto"/>
              <w:ind w:left="62" w:right="100"/>
              <w:rPr>
                <w:rFonts w:ascii="Arial" w:hAnsi="Arial" w:cs="Arial"/>
                <w:sz w:val="20"/>
                <w:szCs w:val="20"/>
              </w:rPr>
            </w:pPr>
            <w:r w:rsidRPr="00D42F01">
              <w:rPr>
                <w:rFonts w:ascii="Arial" w:hAnsi="Arial" w:cs="Arial"/>
                <w:color w:val="000000"/>
                <w:sz w:val="20"/>
                <w:szCs w:val="20"/>
              </w:rPr>
              <w:t>Kenosha</w:t>
            </w:r>
          </w:p>
        </w:tc>
        <w:tc>
          <w:tcPr>
            <w:tcW w:w="963" w:type="dxa"/>
            <w:tcBorders>
              <w:top w:val="nil"/>
              <w:left w:val="nil"/>
              <w:bottom w:val="nil"/>
              <w:right w:val="nil"/>
            </w:tcBorders>
            <w:tcMar>
              <w:top w:w="0" w:type="dxa"/>
              <w:left w:w="108" w:type="dxa"/>
              <w:bottom w:w="0" w:type="dxa"/>
              <w:right w:w="108" w:type="dxa"/>
            </w:tcMar>
            <w:vAlign w:val="center"/>
          </w:tcPr>
          <w:p w14:paraId="340DE7B8" w14:textId="77777777" w:rsidR="00001ECE" w:rsidRPr="00D42F01" w:rsidRDefault="00001ECE" w:rsidP="00001ECE">
            <w:pPr>
              <w:spacing w:line="252" w:lineRule="auto"/>
              <w:ind w:left="44" w:right="62"/>
              <w:jc w:val="right"/>
              <w:rPr>
                <w:rFonts w:ascii="Arial" w:hAnsi="Arial" w:cs="Arial"/>
                <w:sz w:val="20"/>
                <w:szCs w:val="20"/>
              </w:rPr>
            </w:pPr>
            <w:r>
              <w:rPr>
                <w:rFonts w:ascii="Arial" w:hAnsi="Arial" w:cs="Arial"/>
                <w:sz w:val="20"/>
                <w:szCs w:val="20"/>
              </w:rPr>
              <w:t>97</w:t>
            </w:r>
          </w:p>
        </w:tc>
        <w:tc>
          <w:tcPr>
            <w:tcW w:w="922" w:type="dxa"/>
            <w:tcBorders>
              <w:top w:val="nil"/>
              <w:left w:val="nil"/>
              <w:bottom w:val="nil"/>
              <w:right w:val="nil"/>
            </w:tcBorders>
            <w:vAlign w:val="center"/>
          </w:tcPr>
          <w:p w14:paraId="147F4DCC" w14:textId="77777777" w:rsidR="00001ECE" w:rsidRPr="00D42F01" w:rsidRDefault="00001ECE" w:rsidP="00001ECE">
            <w:pPr>
              <w:spacing w:line="252" w:lineRule="auto"/>
              <w:ind w:right="62"/>
              <w:jc w:val="right"/>
              <w:rPr>
                <w:rFonts w:ascii="Arial" w:hAnsi="Arial" w:cs="Arial"/>
                <w:sz w:val="20"/>
                <w:szCs w:val="20"/>
              </w:rPr>
            </w:pPr>
            <w:r>
              <w:rPr>
                <w:rFonts w:ascii="Arial" w:hAnsi="Arial" w:cs="Arial"/>
                <w:sz w:val="20"/>
                <w:szCs w:val="20"/>
              </w:rPr>
              <w:t>78</w:t>
            </w:r>
          </w:p>
        </w:tc>
        <w:tc>
          <w:tcPr>
            <w:tcW w:w="993" w:type="dxa"/>
            <w:tcBorders>
              <w:top w:val="nil"/>
              <w:left w:val="nil"/>
              <w:bottom w:val="nil"/>
              <w:right w:val="nil"/>
            </w:tcBorders>
            <w:vAlign w:val="center"/>
          </w:tcPr>
          <w:p w14:paraId="72D83750" w14:textId="77777777" w:rsidR="00001ECE" w:rsidRPr="00D42F01" w:rsidRDefault="00001ECE" w:rsidP="00001ECE">
            <w:pPr>
              <w:spacing w:line="252" w:lineRule="auto"/>
              <w:ind w:right="195"/>
              <w:jc w:val="right"/>
              <w:rPr>
                <w:rFonts w:ascii="Arial" w:hAnsi="Arial" w:cs="Arial"/>
                <w:sz w:val="20"/>
                <w:szCs w:val="20"/>
              </w:rPr>
            </w:pPr>
            <w:r>
              <w:rPr>
                <w:rFonts w:ascii="Arial" w:hAnsi="Arial" w:cs="Arial"/>
                <w:sz w:val="20"/>
                <w:szCs w:val="20"/>
              </w:rPr>
              <w:t>-19.6%</w:t>
            </w:r>
          </w:p>
        </w:tc>
      </w:tr>
      <w:tr w:rsidR="00001ECE" w:rsidRPr="00D42F01" w14:paraId="770FC75F" w14:textId="77777777" w:rsidTr="00001ECE">
        <w:trPr>
          <w:trHeight w:val="288"/>
        </w:trPr>
        <w:tc>
          <w:tcPr>
            <w:tcW w:w="1452" w:type="dxa"/>
            <w:tcBorders>
              <w:top w:val="nil"/>
              <w:left w:val="nil"/>
              <w:bottom w:val="single" w:sz="4" w:space="0" w:color="auto"/>
              <w:right w:val="nil"/>
            </w:tcBorders>
            <w:shd w:val="clear" w:color="auto" w:fill="D5DCE4" w:themeFill="text2" w:themeFillTint="33"/>
            <w:tcMar>
              <w:top w:w="0" w:type="dxa"/>
              <w:left w:w="108" w:type="dxa"/>
              <w:bottom w:w="0" w:type="dxa"/>
              <w:right w:w="108" w:type="dxa"/>
            </w:tcMar>
            <w:vAlign w:val="center"/>
          </w:tcPr>
          <w:p w14:paraId="7F0E4F53" w14:textId="77777777" w:rsidR="00001ECE" w:rsidRPr="00D42F01" w:rsidRDefault="00001ECE" w:rsidP="00001ECE">
            <w:pPr>
              <w:spacing w:line="252" w:lineRule="auto"/>
              <w:ind w:left="62" w:right="100"/>
              <w:rPr>
                <w:rFonts w:ascii="Arial" w:hAnsi="Arial" w:cs="Arial"/>
                <w:sz w:val="20"/>
                <w:szCs w:val="20"/>
              </w:rPr>
            </w:pPr>
            <w:r w:rsidRPr="00D42F01">
              <w:rPr>
                <w:rFonts w:ascii="Arial" w:hAnsi="Arial" w:cs="Arial"/>
                <w:sz w:val="20"/>
                <w:szCs w:val="20"/>
              </w:rPr>
              <w:t>Walworth</w:t>
            </w:r>
          </w:p>
        </w:tc>
        <w:tc>
          <w:tcPr>
            <w:tcW w:w="963" w:type="dxa"/>
            <w:tcBorders>
              <w:top w:val="nil"/>
              <w:left w:val="nil"/>
              <w:bottom w:val="single" w:sz="4" w:space="0" w:color="auto"/>
              <w:right w:val="nil"/>
            </w:tcBorders>
            <w:shd w:val="clear" w:color="auto" w:fill="D5DCE4" w:themeFill="text2" w:themeFillTint="33"/>
            <w:tcMar>
              <w:top w:w="0" w:type="dxa"/>
              <w:left w:w="108" w:type="dxa"/>
              <w:bottom w:w="0" w:type="dxa"/>
              <w:right w:w="108" w:type="dxa"/>
            </w:tcMar>
            <w:vAlign w:val="center"/>
          </w:tcPr>
          <w:p w14:paraId="630620CE" w14:textId="77777777" w:rsidR="00001ECE" w:rsidRPr="00D42F01" w:rsidRDefault="00001ECE" w:rsidP="00001ECE">
            <w:pPr>
              <w:spacing w:line="252" w:lineRule="auto"/>
              <w:ind w:left="44" w:right="62"/>
              <w:jc w:val="right"/>
              <w:rPr>
                <w:rFonts w:ascii="Arial" w:hAnsi="Arial" w:cs="Arial"/>
                <w:sz w:val="20"/>
                <w:szCs w:val="20"/>
              </w:rPr>
            </w:pPr>
            <w:r>
              <w:rPr>
                <w:rFonts w:ascii="Arial" w:hAnsi="Arial" w:cs="Arial"/>
                <w:sz w:val="20"/>
                <w:szCs w:val="20"/>
              </w:rPr>
              <w:t>84</w:t>
            </w:r>
          </w:p>
        </w:tc>
        <w:tc>
          <w:tcPr>
            <w:tcW w:w="922" w:type="dxa"/>
            <w:tcBorders>
              <w:top w:val="nil"/>
              <w:left w:val="nil"/>
              <w:bottom w:val="single" w:sz="4" w:space="0" w:color="auto"/>
              <w:right w:val="nil"/>
            </w:tcBorders>
            <w:shd w:val="clear" w:color="auto" w:fill="D5DCE4" w:themeFill="text2" w:themeFillTint="33"/>
            <w:vAlign w:val="center"/>
          </w:tcPr>
          <w:p w14:paraId="7D257033" w14:textId="77777777" w:rsidR="00001ECE" w:rsidRPr="00D42F01" w:rsidRDefault="00001ECE" w:rsidP="00001ECE">
            <w:pPr>
              <w:spacing w:line="252" w:lineRule="auto"/>
              <w:ind w:right="62"/>
              <w:jc w:val="right"/>
              <w:rPr>
                <w:rFonts w:ascii="Arial" w:hAnsi="Arial" w:cs="Arial"/>
                <w:sz w:val="20"/>
                <w:szCs w:val="20"/>
              </w:rPr>
            </w:pPr>
            <w:r>
              <w:rPr>
                <w:rFonts w:ascii="Arial" w:hAnsi="Arial" w:cs="Arial"/>
                <w:sz w:val="20"/>
                <w:szCs w:val="20"/>
              </w:rPr>
              <w:t>66</w:t>
            </w:r>
          </w:p>
        </w:tc>
        <w:tc>
          <w:tcPr>
            <w:tcW w:w="993" w:type="dxa"/>
            <w:tcBorders>
              <w:top w:val="nil"/>
              <w:left w:val="nil"/>
              <w:bottom w:val="nil"/>
              <w:right w:val="nil"/>
            </w:tcBorders>
            <w:shd w:val="clear" w:color="auto" w:fill="D5DCE4" w:themeFill="text2" w:themeFillTint="33"/>
            <w:vAlign w:val="center"/>
          </w:tcPr>
          <w:p w14:paraId="204E4DEA" w14:textId="77777777" w:rsidR="00001ECE" w:rsidRPr="00D42F01" w:rsidRDefault="00001ECE" w:rsidP="00001ECE">
            <w:pPr>
              <w:spacing w:line="252" w:lineRule="auto"/>
              <w:ind w:right="195"/>
              <w:jc w:val="right"/>
              <w:rPr>
                <w:rFonts w:ascii="Arial" w:hAnsi="Arial" w:cs="Arial"/>
                <w:sz w:val="20"/>
                <w:szCs w:val="20"/>
              </w:rPr>
            </w:pPr>
            <w:r>
              <w:rPr>
                <w:rFonts w:ascii="Arial" w:hAnsi="Arial" w:cs="Arial"/>
                <w:sz w:val="20"/>
                <w:szCs w:val="20"/>
              </w:rPr>
              <w:t>-21.4%</w:t>
            </w:r>
          </w:p>
        </w:tc>
      </w:tr>
      <w:tr w:rsidR="00001ECE" w:rsidRPr="00D42F01" w14:paraId="47B090DB" w14:textId="77777777" w:rsidTr="00001ECE">
        <w:trPr>
          <w:trHeight w:val="288"/>
        </w:trPr>
        <w:tc>
          <w:tcPr>
            <w:tcW w:w="1452" w:type="dxa"/>
            <w:tcBorders>
              <w:top w:val="single" w:sz="4" w:space="0" w:color="auto"/>
              <w:left w:val="nil"/>
              <w:bottom w:val="nil"/>
              <w:right w:val="nil"/>
            </w:tcBorders>
            <w:tcMar>
              <w:top w:w="0" w:type="dxa"/>
              <w:left w:w="108" w:type="dxa"/>
              <w:bottom w:w="0" w:type="dxa"/>
              <w:right w:w="108" w:type="dxa"/>
            </w:tcMar>
            <w:vAlign w:val="center"/>
          </w:tcPr>
          <w:p w14:paraId="33607EA6" w14:textId="77777777" w:rsidR="00001ECE" w:rsidRPr="00D42F01" w:rsidRDefault="00001ECE" w:rsidP="00001ECE">
            <w:pPr>
              <w:spacing w:line="252" w:lineRule="auto"/>
              <w:ind w:left="62" w:right="100"/>
              <w:rPr>
                <w:rFonts w:ascii="Arial" w:hAnsi="Arial" w:cs="Arial"/>
                <w:sz w:val="20"/>
                <w:szCs w:val="20"/>
              </w:rPr>
            </w:pPr>
            <w:r w:rsidRPr="00D42F01">
              <w:rPr>
                <w:rFonts w:ascii="Arial" w:hAnsi="Arial" w:cs="Arial"/>
                <w:color w:val="000000"/>
                <w:sz w:val="20"/>
                <w:szCs w:val="20"/>
              </w:rPr>
              <w:t>SE WI Area</w:t>
            </w:r>
          </w:p>
        </w:tc>
        <w:tc>
          <w:tcPr>
            <w:tcW w:w="963" w:type="dxa"/>
            <w:tcBorders>
              <w:top w:val="single" w:sz="4" w:space="0" w:color="auto"/>
              <w:left w:val="nil"/>
              <w:bottom w:val="nil"/>
              <w:right w:val="nil"/>
            </w:tcBorders>
            <w:tcMar>
              <w:top w:w="0" w:type="dxa"/>
              <w:left w:w="108" w:type="dxa"/>
              <w:bottom w:w="0" w:type="dxa"/>
              <w:right w:w="108" w:type="dxa"/>
            </w:tcMar>
            <w:vAlign w:val="center"/>
          </w:tcPr>
          <w:p w14:paraId="17E778F4" w14:textId="77777777" w:rsidR="00001ECE" w:rsidRPr="00D42F01" w:rsidRDefault="00001ECE" w:rsidP="00001ECE">
            <w:pPr>
              <w:spacing w:line="252" w:lineRule="auto"/>
              <w:ind w:left="44" w:right="62"/>
              <w:jc w:val="right"/>
              <w:rPr>
                <w:rFonts w:ascii="Arial" w:hAnsi="Arial" w:cs="Arial"/>
                <w:sz w:val="20"/>
                <w:szCs w:val="20"/>
              </w:rPr>
            </w:pPr>
            <w:r>
              <w:rPr>
                <w:rFonts w:ascii="Arial" w:hAnsi="Arial" w:cs="Arial"/>
                <w:color w:val="000000"/>
                <w:sz w:val="20"/>
                <w:szCs w:val="20"/>
              </w:rPr>
              <w:t>1,188</w:t>
            </w:r>
          </w:p>
        </w:tc>
        <w:tc>
          <w:tcPr>
            <w:tcW w:w="922" w:type="dxa"/>
            <w:tcBorders>
              <w:top w:val="single" w:sz="4" w:space="0" w:color="auto"/>
              <w:left w:val="nil"/>
              <w:bottom w:val="nil"/>
              <w:right w:val="nil"/>
            </w:tcBorders>
            <w:vAlign w:val="center"/>
          </w:tcPr>
          <w:p w14:paraId="2617E988" w14:textId="77777777" w:rsidR="00001ECE" w:rsidRPr="00D42F01" w:rsidRDefault="00001ECE" w:rsidP="00001ECE">
            <w:pPr>
              <w:spacing w:line="252" w:lineRule="auto"/>
              <w:ind w:right="62"/>
              <w:jc w:val="right"/>
              <w:rPr>
                <w:rFonts w:ascii="Arial" w:hAnsi="Arial" w:cs="Arial"/>
                <w:sz w:val="20"/>
                <w:szCs w:val="20"/>
              </w:rPr>
            </w:pPr>
            <w:r>
              <w:rPr>
                <w:rFonts w:ascii="Arial" w:hAnsi="Arial" w:cs="Arial"/>
                <w:color w:val="000000"/>
                <w:sz w:val="20"/>
                <w:szCs w:val="20"/>
              </w:rPr>
              <w:t>1,157</w:t>
            </w:r>
          </w:p>
        </w:tc>
        <w:tc>
          <w:tcPr>
            <w:tcW w:w="993" w:type="dxa"/>
            <w:tcBorders>
              <w:top w:val="nil"/>
              <w:left w:val="nil"/>
              <w:bottom w:val="nil"/>
              <w:right w:val="nil"/>
            </w:tcBorders>
            <w:vAlign w:val="center"/>
          </w:tcPr>
          <w:p w14:paraId="7E66C56B" w14:textId="77777777" w:rsidR="00001ECE" w:rsidRPr="00D42F01" w:rsidRDefault="00001ECE" w:rsidP="00001ECE">
            <w:pPr>
              <w:spacing w:line="252" w:lineRule="auto"/>
              <w:ind w:right="195"/>
              <w:jc w:val="right"/>
              <w:rPr>
                <w:rFonts w:ascii="Arial" w:hAnsi="Arial" w:cs="Arial"/>
                <w:sz w:val="20"/>
                <w:szCs w:val="20"/>
              </w:rPr>
            </w:pPr>
            <w:r>
              <w:rPr>
                <w:rFonts w:ascii="Arial" w:hAnsi="Arial" w:cs="Arial"/>
                <w:sz w:val="20"/>
                <w:szCs w:val="20"/>
              </w:rPr>
              <w:t>-2.6%</w:t>
            </w:r>
          </w:p>
        </w:tc>
      </w:tr>
    </w:tbl>
    <w:p w14:paraId="0F6C4F84" w14:textId="52ACDFA1" w:rsidR="00001ECE" w:rsidRDefault="006C630A" w:rsidP="00001ECE">
      <w:r>
        <w:t>N</w:t>
      </w:r>
      <w:r w:rsidR="00001ECE">
        <w:t>ormal</w:t>
      </w:r>
      <w:r>
        <w:t>ly</w:t>
      </w:r>
      <w:r w:rsidR="00001ECE">
        <w:t xml:space="preserve">, a decline in sales is </w:t>
      </w:r>
      <w:r>
        <w:t xml:space="preserve">related to </w:t>
      </w:r>
      <w:r w:rsidR="00001ECE">
        <w:t>an increase in housing supply, which often leads prices to level off or decline. For instance, during economic recessions, more homes tend to come onto the market. As available inventory rises, price growth slows or prices fall altogether.</w:t>
      </w:r>
    </w:p>
    <w:p w14:paraId="05922940" w14:textId="77777777" w:rsidR="00001ECE" w:rsidRDefault="00001ECE" w:rsidP="00001ECE"/>
    <w:p w14:paraId="4CBF6F56" w14:textId="32A7FBE3" w:rsidR="00EA763F" w:rsidRDefault="00001ECE" w:rsidP="00001ECE">
      <w:r>
        <w:t xml:space="preserve">In theory, these conditions should favor buyers. </w:t>
      </w:r>
      <w:r w:rsidR="006C630A">
        <w:t>However, t</w:t>
      </w:r>
      <w:r>
        <w:t>oday’s buyers are facing extraordinarily difficult conditions</w:t>
      </w:r>
      <w:r w:rsidR="00EA763F">
        <w:t xml:space="preserve">. </w:t>
      </w:r>
    </w:p>
    <w:p w14:paraId="2BE9FC20" w14:textId="77777777" w:rsidR="00EA763F" w:rsidRDefault="00EA763F" w:rsidP="00F84C72"/>
    <w:p w14:paraId="7C673D9A" w14:textId="77777777" w:rsidR="00001ECE" w:rsidRDefault="00001ECE" w:rsidP="00001ECE">
      <w:pPr>
        <w:ind w:right="-180"/>
      </w:pPr>
      <w:r>
        <w:t>The current market has no shortage of buyers; instead, buyers are competing for too few available listings. This imbalance is at the core of the problem.</w:t>
      </w:r>
    </w:p>
    <w:p w14:paraId="277D37DD" w14:textId="77777777" w:rsidR="00001ECE" w:rsidRDefault="00001ECE" w:rsidP="00001ECE">
      <w:pPr>
        <w:ind w:right="-180"/>
      </w:pPr>
    </w:p>
    <w:p w14:paraId="1FB3434B" w14:textId="77777777" w:rsidR="00001ECE" w:rsidRDefault="00001ECE" w:rsidP="00001ECE">
      <w:pPr>
        <w:ind w:right="-180"/>
      </w:pPr>
      <w:r>
        <w:t>Efforts to lower interest rates alone will not solve this issue. In fact, lower rates could worsen the situation.</w:t>
      </w:r>
    </w:p>
    <w:p w14:paraId="4469BEE2" w14:textId="77777777" w:rsidR="00001ECE" w:rsidRDefault="00001ECE" w:rsidP="00001ECE">
      <w:pPr>
        <w:ind w:right="-180"/>
      </w:pPr>
    </w:p>
    <w:p w14:paraId="79984619" w14:textId="77777777" w:rsidR="00001ECE" w:rsidRDefault="00001ECE" w:rsidP="00001ECE">
      <w:pPr>
        <w:ind w:right="-180"/>
      </w:pPr>
      <w:r>
        <w:t>When housing supply is limited, there is upward pressure on prices. In 2025, average prices reached a historic high of $470,702 in the metropolitan area, representing a 6.1% increase</w:t>
      </w:r>
      <w:r w:rsidR="003244DA">
        <w:t xml:space="preserve">. </w:t>
      </w:r>
    </w:p>
    <w:p w14:paraId="0B9311F5" w14:textId="77777777" w:rsidR="00001ECE" w:rsidRDefault="00001ECE" w:rsidP="00001ECE">
      <w:pPr>
        <w:ind w:right="-180"/>
      </w:pPr>
    </w:p>
    <w:p w14:paraId="550827F1" w14:textId="2424A831" w:rsidR="00E65D35" w:rsidRDefault="00001ECE" w:rsidP="00001ECE">
      <w:pPr>
        <w:ind w:right="-180"/>
      </w:pPr>
      <w:r w:rsidRPr="00001ECE">
        <w:t>With supply already constrained, lowering the cost of borrowing by reducing interest rates gives qualified buyers more purchasing power at current price levels. That added purchasing power increases competition for a limited number of homes, which can drive prices even higher</w:t>
      </w:r>
      <w:r>
        <w:t>.</w:t>
      </w:r>
    </w:p>
    <w:p w14:paraId="47D8F696" w14:textId="77777777" w:rsidR="00E65D35" w:rsidRDefault="00E65D35" w:rsidP="003244DA">
      <w:pPr>
        <w:ind w:right="-180"/>
      </w:pPr>
    </w:p>
    <w:tbl>
      <w:tblPr>
        <w:tblpPr w:leftFromText="187" w:rightFromText="360" w:topFromText="202" w:bottomFromText="288" w:vertAnchor="text" w:horzAnchor="page" w:tblpX="1441" w:tblpY="92"/>
        <w:tblW w:w="6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83"/>
        <w:gridCol w:w="1264"/>
        <w:gridCol w:w="1183"/>
        <w:gridCol w:w="1262"/>
        <w:gridCol w:w="992"/>
      </w:tblGrid>
      <w:tr w:rsidR="000666AB" w:rsidRPr="00DE1D23" w14:paraId="42D8160A" w14:textId="77777777" w:rsidTr="000666AB">
        <w:trPr>
          <w:trHeight w:val="360"/>
        </w:trPr>
        <w:tc>
          <w:tcPr>
            <w:tcW w:w="6484" w:type="dxa"/>
            <w:gridSpan w:val="5"/>
            <w:tcBorders>
              <w:top w:val="nil"/>
              <w:left w:val="nil"/>
              <w:bottom w:val="nil"/>
              <w:right w:val="nil"/>
            </w:tcBorders>
            <w:vAlign w:val="center"/>
          </w:tcPr>
          <w:p w14:paraId="2CBBFCA5" w14:textId="77777777" w:rsidR="000666AB" w:rsidRPr="00430E07" w:rsidRDefault="000666AB" w:rsidP="000666AB">
            <w:pPr>
              <w:spacing w:line="252" w:lineRule="auto"/>
              <w:contextualSpacing w:val="0"/>
              <w:rPr>
                <w:rFonts w:ascii="Arial" w:eastAsia="Calibri" w:hAnsi="Arial" w:cs="Arial"/>
                <w:b/>
                <w:bCs/>
                <w:sz w:val="24"/>
                <w:szCs w:val="24"/>
              </w:rPr>
            </w:pPr>
            <w:r w:rsidRPr="00F3732A">
              <w:rPr>
                <w:rFonts w:ascii="Arial" w:eastAsia="Calibri" w:hAnsi="Arial" w:cs="Arial"/>
                <w:b/>
                <w:bCs/>
                <w:sz w:val="20"/>
                <w:szCs w:val="20"/>
              </w:rPr>
              <w:br w:type="page"/>
            </w:r>
            <w:r>
              <w:rPr>
                <w:rFonts w:ascii="Arial" w:eastAsia="Calibri" w:hAnsi="Arial" w:cs="Arial"/>
                <w:b/>
                <w:bCs/>
                <w:sz w:val="20"/>
                <w:szCs w:val="20"/>
              </w:rPr>
              <w:t xml:space="preserve"> </w:t>
            </w:r>
            <w:r>
              <w:rPr>
                <w:rFonts w:ascii="Arial" w:eastAsia="Calibri" w:hAnsi="Arial" w:cs="Arial"/>
                <w:b/>
                <w:bCs/>
                <w:sz w:val="22"/>
              </w:rPr>
              <w:t>2025</w:t>
            </w:r>
            <w:r w:rsidRPr="00D42F01">
              <w:rPr>
                <w:rFonts w:ascii="Arial" w:eastAsia="Calibri" w:hAnsi="Arial" w:cs="Arial"/>
                <w:b/>
                <w:sz w:val="22"/>
              </w:rPr>
              <w:t xml:space="preserve"> Sale Prices</w:t>
            </w:r>
            <w:r w:rsidRPr="005C3BB5">
              <w:rPr>
                <w:rFonts w:ascii="Arial" w:eastAsia="Calibri" w:hAnsi="Arial" w:cs="Arial"/>
                <w:bCs/>
                <w:sz w:val="18"/>
                <w:szCs w:val="18"/>
              </w:rPr>
              <w:t xml:space="preserve"> (Jan 1 – </w:t>
            </w:r>
            <w:r>
              <w:rPr>
                <w:rFonts w:ascii="Arial" w:eastAsia="Calibri" w:hAnsi="Arial" w:cs="Arial"/>
                <w:bCs/>
                <w:sz w:val="18"/>
                <w:szCs w:val="18"/>
              </w:rPr>
              <w:t>Dec 31</w:t>
            </w:r>
            <w:r w:rsidRPr="005C3BB5">
              <w:rPr>
                <w:rFonts w:ascii="Arial" w:eastAsia="Calibri" w:hAnsi="Arial" w:cs="Arial"/>
                <w:bCs/>
                <w:sz w:val="18"/>
                <w:szCs w:val="18"/>
              </w:rPr>
              <w:t>)</w:t>
            </w:r>
          </w:p>
        </w:tc>
      </w:tr>
      <w:tr w:rsidR="000666AB" w:rsidRPr="00DE1D23" w14:paraId="20B1C8CB" w14:textId="77777777" w:rsidTr="000666AB">
        <w:trPr>
          <w:trHeight w:val="288"/>
        </w:trPr>
        <w:tc>
          <w:tcPr>
            <w:tcW w:w="1783" w:type="dxa"/>
            <w:tcBorders>
              <w:top w:val="nil"/>
              <w:left w:val="nil"/>
              <w:bottom w:val="nil"/>
              <w:right w:val="single" w:sz="12" w:space="0" w:color="FFFFFF"/>
            </w:tcBorders>
            <w:shd w:val="clear" w:color="auto" w:fill="1F4E79"/>
            <w:vAlign w:val="center"/>
            <w:hideMark/>
          </w:tcPr>
          <w:p w14:paraId="76D25E23" w14:textId="77777777" w:rsidR="000666AB" w:rsidRPr="00DE1D23" w:rsidRDefault="000666AB" w:rsidP="000666AB">
            <w:pPr>
              <w:ind w:left="175" w:right="-15"/>
              <w:contextualSpacing w:val="0"/>
              <w:rPr>
                <w:rFonts w:ascii="Arial" w:eastAsia="Calibri" w:hAnsi="Arial" w:cs="Arial"/>
                <w:b/>
                <w:color w:val="FFFFFF"/>
                <w:sz w:val="20"/>
                <w:szCs w:val="20"/>
              </w:rPr>
            </w:pPr>
            <w:r w:rsidRPr="00DE1D23">
              <w:rPr>
                <w:rFonts w:ascii="Arial" w:eastAsia="Calibri" w:hAnsi="Arial" w:cs="Arial"/>
                <w:b/>
                <w:color w:val="FFFFFF"/>
                <w:sz w:val="20"/>
                <w:szCs w:val="20"/>
              </w:rPr>
              <w:t>County</w:t>
            </w:r>
          </w:p>
        </w:tc>
        <w:tc>
          <w:tcPr>
            <w:tcW w:w="1264" w:type="dxa"/>
            <w:tcBorders>
              <w:top w:val="nil"/>
              <w:left w:val="single" w:sz="12" w:space="0" w:color="FFFFFF"/>
              <w:bottom w:val="nil"/>
              <w:right w:val="single" w:sz="12" w:space="0" w:color="FFFFFF"/>
            </w:tcBorders>
            <w:shd w:val="clear" w:color="auto" w:fill="1F4E79"/>
            <w:tcMar>
              <w:top w:w="0" w:type="dxa"/>
              <w:left w:w="108" w:type="dxa"/>
              <w:bottom w:w="0" w:type="dxa"/>
              <w:right w:w="108" w:type="dxa"/>
            </w:tcMar>
            <w:vAlign w:val="center"/>
            <w:hideMark/>
          </w:tcPr>
          <w:p w14:paraId="7F72631E" w14:textId="77777777" w:rsidR="000666AB" w:rsidRPr="00DE1D23" w:rsidRDefault="000666AB" w:rsidP="000666AB">
            <w:pPr>
              <w:spacing w:line="207" w:lineRule="atLeast"/>
              <w:ind w:left="44" w:right="-15"/>
              <w:contextualSpacing w:val="0"/>
              <w:jc w:val="center"/>
              <w:rPr>
                <w:rFonts w:ascii="Arial" w:eastAsia="Calibri" w:hAnsi="Arial" w:cs="Arial"/>
                <w:color w:val="FFFFFF"/>
                <w:sz w:val="20"/>
                <w:szCs w:val="20"/>
              </w:rPr>
            </w:pPr>
            <w:r w:rsidRPr="00DE1D23">
              <w:rPr>
                <w:rFonts w:ascii="Arial" w:eastAsia="Calibri" w:hAnsi="Arial" w:cs="Arial"/>
                <w:color w:val="FFFFFF"/>
                <w:sz w:val="20"/>
                <w:szCs w:val="20"/>
              </w:rPr>
              <w:t>202</w:t>
            </w:r>
            <w:r>
              <w:rPr>
                <w:rFonts w:ascii="Arial" w:eastAsia="Calibri" w:hAnsi="Arial" w:cs="Arial"/>
                <w:color w:val="FFFFFF"/>
                <w:sz w:val="20"/>
                <w:szCs w:val="20"/>
              </w:rPr>
              <w:t>4</w:t>
            </w:r>
          </w:p>
        </w:tc>
        <w:tc>
          <w:tcPr>
            <w:tcW w:w="1183" w:type="dxa"/>
            <w:tcBorders>
              <w:top w:val="nil"/>
              <w:left w:val="single" w:sz="12" w:space="0" w:color="FFFFFF"/>
              <w:bottom w:val="nil"/>
              <w:right w:val="single" w:sz="12" w:space="0" w:color="FFFFFF"/>
            </w:tcBorders>
            <w:shd w:val="clear" w:color="auto" w:fill="1F4E79"/>
            <w:tcMar>
              <w:top w:w="0" w:type="dxa"/>
              <w:left w:w="108" w:type="dxa"/>
              <w:bottom w:w="0" w:type="dxa"/>
              <w:right w:w="108" w:type="dxa"/>
            </w:tcMar>
            <w:vAlign w:val="center"/>
            <w:hideMark/>
          </w:tcPr>
          <w:p w14:paraId="62516038" w14:textId="77777777" w:rsidR="000666AB" w:rsidRPr="00DE1D23" w:rsidRDefault="000666AB" w:rsidP="000666AB">
            <w:pPr>
              <w:spacing w:line="207" w:lineRule="atLeast"/>
              <w:ind w:right="-15"/>
              <w:contextualSpacing w:val="0"/>
              <w:jc w:val="center"/>
              <w:rPr>
                <w:rFonts w:ascii="Arial" w:eastAsia="Calibri" w:hAnsi="Arial" w:cs="Arial"/>
                <w:color w:val="FFFFFF"/>
                <w:sz w:val="20"/>
                <w:szCs w:val="20"/>
              </w:rPr>
            </w:pPr>
            <w:r w:rsidRPr="00DE1D23">
              <w:rPr>
                <w:rFonts w:ascii="Arial" w:eastAsia="Calibri" w:hAnsi="Arial" w:cs="Arial"/>
                <w:color w:val="FFFFFF"/>
                <w:sz w:val="20"/>
                <w:szCs w:val="20"/>
              </w:rPr>
              <w:t>202</w:t>
            </w:r>
            <w:r>
              <w:rPr>
                <w:rFonts w:ascii="Arial" w:eastAsia="Calibri" w:hAnsi="Arial" w:cs="Arial"/>
                <w:color w:val="FFFFFF"/>
                <w:sz w:val="20"/>
                <w:szCs w:val="20"/>
              </w:rPr>
              <w:t>5</w:t>
            </w:r>
          </w:p>
        </w:tc>
        <w:tc>
          <w:tcPr>
            <w:tcW w:w="1262" w:type="dxa"/>
            <w:tcBorders>
              <w:top w:val="nil"/>
              <w:left w:val="single" w:sz="12" w:space="0" w:color="FFFFFF"/>
              <w:bottom w:val="nil"/>
              <w:right w:val="nil"/>
            </w:tcBorders>
            <w:shd w:val="clear" w:color="auto" w:fill="1F4E79"/>
            <w:vAlign w:val="center"/>
          </w:tcPr>
          <w:p w14:paraId="66E53AF4" w14:textId="77777777" w:rsidR="000666AB" w:rsidRPr="00DE1D23" w:rsidRDefault="000666AB" w:rsidP="000666AB">
            <w:pPr>
              <w:ind w:left="89" w:right="60"/>
              <w:contextualSpacing w:val="0"/>
              <w:jc w:val="center"/>
              <w:rPr>
                <w:rFonts w:ascii="Arial" w:eastAsia="Calibri" w:hAnsi="Arial" w:cs="Arial"/>
                <w:color w:val="FFFFFF"/>
                <w:sz w:val="20"/>
                <w:szCs w:val="20"/>
              </w:rPr>
            </w:pPr>
            <w:r w:rsidRPr="00DE1D23">
              <w:rPr>
                <w:rFonts w:ascii="Arial" w:eastAsia="Calibri" w:hAnsi="Arial" w:cs="Arial"/>
                <w:color w:val="FFFFFF"/>
                <w:sz w:val="20"/>
                <w:szCs w:val="20"/>
              </w:rPr>
              <w:t>$ Change</w:t>
            </w:r>
          </w:p>
        </w:tc>
        <w:tc>
          <w:tcPr>
            <w:tcW w:w="992" w:type="dxa"/>
            <w:tcBorders>
              <w:top w:val="nil"/>
              <w:left w:val="single" w:sz="12" w:space="0" w:color="FFFFFF"/>
              <w:bottom w:val="nil"/>
              <w:right w:val="nil"/>
            </w:tcBorders>
            <w:shd w:val="clear" w:color="auto" w:fill="1F4E79"/>
            <w:vAlign w:val="center"/>
          </w:tcPr>
          <w:p w14:paraId="03139117" w14:textId="77777777" w:rsidR="000666AB" w:rsidRPr="00DE1D23" w:rsidRDefault="000666AB" w:rsidP="000666AB">
            <w:pPr>
              <w:ind w:right="-15"/>
              <w:contextualSpacing w:val="0"/>
              <w:jc w:val="center"/>
              <w:rPr>
                <w:rFonts w:ascii="Arial" w:eastAsia="Calibri" w:hAnsi="Arial" w:cs="Arial"/>
                <w:color w:val="FFFFFF"/>
                <w:sz w:val="20"/>
                <w:szCs w:val="20"/>
              </w:rPr>
            </w:pPr>
            <w:r w:rsidRPr="00DB59A4">
              <w:rPr>
                <w:rFonts w:ascii="Arial Narrow" w:hAnsi="Arial Narrow" w:cs="Arial"/>
                <w:color w:val="FFFFFF" w:themeColor="background1"/>
                <w:sz w:val="20"/>
                <w:szCs w:val="20"/>
              </w:rPr>
              <w:t>% Change</w:t>
            </w:r>
          </w:p>
        </w:tc>
      </w:tr>
      <w:tr w:rsidR="000666AB" w:rsidRPr="00DE1D23" w14:paraId="232C60A2" w14:textId="77777777" w:rsidTr="000666AB">
        <w:trPr>
          <w:trHeight w:val="288"/>
        </w:trPr>
        <w:tc>
          <w:tcPr>
            <w:tcW w:w="1783" w:type="dxa"/>
            <w:tcBorders>
              <w:top w:val="nil"/>
              <w:left w:val="nil"/>
              <w:bottom w:val="nil"/>
              <w:right w:val="nil"/>
            </w:tcBorders>
            <w:tcMar>
              <w:top w:w="0" w:type="dxa"/>
              <w:left w:w="108" w:type="dxa"/>
              <w:bottom w:w="0" w:type="dxa"/>
              <w:right w:w="108" w:type="dxa"/>
            </w:tcMar>
            <w:vAlign w:val="center"/>
            <w:hideMark/>
          </w:tcPr>
          <w:p w14:paraId="5F70D862" w14:textId="77777777" w:rsidR="000666AB" w:rsidRPr="00DE1D23" w:rsidRDefault="000666AB" w:rsidP="000666AB">
            <w:pPr>
              <w:spacing w:line="252" w:lineRule="auto"/>
              <w:ind w:left="62" w:right="-15"/>
              <w:contextualSpacing w:val="0"/>
              <w:rPr>
                <w:rFonts w:ascii="Arial" w:eastAsia="Calibri" w:hAnsi="Arial" w:cs="Arial"/>
                <w:sz w:val="20"/>
                <w:szCs w:val="20"/>
              </w:rPr>
            </w:pPr>
            <w:r w:rsidRPr="00DE1D23">
              <w:rPr>
                <w:rFonts w:ascii="Arial" w:eastAsia="Calibri" w:hAnsi="Arial" w:cs="Arial"/>
                <w:sz w:val="20"/>
                <w:szCs w:val="20"/>
              </w:rPr>
              <w:t>Milwaukee</w:t>
            </w:r>
          </w:p>
        </w:tc>
        <w:tc>
          <w:tcPr>
            <w:tcW w:w="1264" w:type="dxa"/>
            <w:tcBorders>
              <w:top w:val="nil"/>
              <w:left w:val="nil"/>
              <w:bottom w:val="nil"/>
              <w:right w:val="nil"/>
            </w:tcBorders>
            <w:tcMar>
              <w:top w:w="0" w:type="dxa"/>
              <w:left w:w="108" w:type="dxa"/>
              <w:bottom w:w="0" w:type="dxa"/>
              <w:right w:w="108" w:type="dxa"/>
            </w:tcMar>
            <w:vAlign w:val="center"/>
          </w:tcPr>
          <w:p w14:paraId="072A00C5" w14:textId="77777777" w:rsidR="000666AB" w:rsidRPr="00620A04" w:rsidRDefault="000666AB" w:rsidP="000666AB">
            <w:pPr>
              <w:spacing w:line="252" w:lineRule="auto"/>
              <w:ind w:left="43" w:right="-14"/>
              <w:contextualSpacing w:val="0"/>
              <w:jc w:val="center"/>
              <w:rPr>
                <w:rFonts w:ascii="Arial" w:eastAsia="Calibri" w:hAnsi="Arial" w:cs="Arial"/>
                <w:sz w:val="20"/>
                <w:szCs w:val="20"/>
              </w:rPr>
            </w:pPr>
            <w:r w:rsidRPr="00620A04">
              <w:rPr>
                <w:rFonts w:ascii="Arial" w:hAnsi="Arial" w:cs="Arial"/>
                <w:sz w:val="20"/>
                <w:szCs w:val="20"/>
              </w:rPr>
              <w:t>$292,505</w:t>
            </w:r>
          </w:p>
        </w:tc>
        <w:tc>
          <w:tcPr>
            <w:tcW w:w="1183" w:type="dxa"/>
            <w:tcBorders>
              <w:top w:val="nil"/>
              <w:left w:val="nil"/>
              <w:bottom w:val="nil"/>
              <w:right w:val="nil"/>
            </w:tcBorders>
            <w:tcMar>
              <w:top w:w="0" w:type="dxa"/>
              <w:left w:w="108" w:type="dxa"/>
              <w:bottom w:w="0" w:type="dxa"/>
              <w:right w:w="108" w:type="dxa"/>
            </w:tcMar>
            <w:vAlign w:val="center"/>
          </w:tcPr>
          <w:p w14:paraId="716C3EE2" w14:textId="77777777" w:rsidR="000666AB" w:rsidRPr="00620A04" w:rsidRDefault="000666AB" w:rsidP="000666AB">
            <w:pPr>
              <w:spacing w:line="252" w:lineRule="auto"/>
              <w:ind w:left="-3" w:right="-15"/>
              <w:contextualSpacing w:val="0"/>
              <w:jc w:val="center"/>
              <w:rPr>
                <w:rFonts w:ascii="Arial" w:eastAsia="Calibri" w:hAnsi="Arial" w:cs="Arial"/>
                <w:sz w:val="20"/>
                <w:szCs w:val="20"/>
              </w:rPr>
            </w:pPr>
            <w:r w:rsidRPr="00620A04">
              <w:rPr>
                <w:rFonts w:ascii="Arial" w:hAnsi="Arial" w:cs="Arial"/>
                <w:sz w:val="20"/>
                <w:szCs w:val="20"/>
              </w:rPr>
              <w:t>$317,928</w:t>
            </w:r>
          </w:p>
        </w:tc>
        <w:tc>
          <w:tcPr>
            <w:tcW w:w="1262" w:type="dxa"/>
            <w:tcBorders>
              <w:top w:val="nil"/>
              <w:left w:val="nil"/>
              <w:bottom w:val="nil"/>
              <w:right w:val="nil"/>
            </w:tcBorders>
            <w:vAlign w:val="center"/>
          </w:tcPr>
          <w:p w14:paraId="60B56294" w14:textId="77777777" w:rsidR="000666AB" w:rsidRPr="00DB59A4" w:rsidRDefault="000666AB" w:rsidP="000666AB">
            <w:pPr>
              <w:spacing w:line="252" w:lineRule="auto"/>
              <w:ind w:left="184" w:right="185"/>
              <w:contextualSpacing w:val="0"/>
              <w:jc w:val="center"/>
              <w:rPr>
                <w:rFonts w:ascii="Arial" w:eastAsia="Calibri" w:hAnsi="Arial" w:cs="Arial"/>
                <w:sz w:val="20"/>
                <w:szCs w:val="20"/>
              </w:rPr>
            </w:pPr>
            <w:r w:rsidRPr="00DB59A4">
              <w:rPr>
                <w:rFonts w:ascii="Arial" w:hAnsi="Arial" w:cs="Arial"/>
                <w:sz w:val="20"/>
                <w:szCs w:val="20"/>
              </w:rPr>
              <w:t>$25,423</w:t>
            </w:r>
          </w:p>
        </w:tc>
        <w:tc>
          <w:tcPr>
            <w:tcW w:w="992" w:type="dxa"/>
            <w:tcBorders>
              <w:top w:val="nil"/>
              <w:left w:val="nil"/>
              <w:bottom w:val="nil"/>
              <w:right w:val="nil"/>
            </w:tcBorders>
            <w:vAlign w:val="center"/>
          </w:tcPr>
          <w:p w14:paraId="2993B8FC" w14:textId="77777777" w:rsidR="000666AB" w:rsidRPr="00DB59A4" w:rsidRDefault="000666AB" w:rsidP="000666AB">
            <w:pPr>
              <w:spacing w:line="252" w:lineRule="auto"/>
              <w:ind w:left="74" w:right="95"/>
              <w:contextualSpacing w:val="0"/>
              <w:jc w:val="center"/>
              <w:rPr>
                <w:rFonts w:ascii="Arial" w:eastAsia="Calibri" w:hAnsi="Arial" w:cs="Arial"/>
                <w:sz w:val="20"/>
                <w:szCs w:val="20"/>
              </w:rPr>
            </w:pPr>
            <w:r w:rsidRPr="00DB59A4">
              <w:rPr>
                <w:rFonts w:ascii="Arial" w:hAnsi="Arial" w:cs="Arial"/>
                <w:sz w:val="20"/>
                <w:szCs w:val="20"/>
              </w:rPr>
              <w:t>8.7%</w:t>
            </w:r>
          </w:p>
        </w:tc>
      </w:tr>
      <w:tr w:rsidR="000666AB" w:rsidRPr="00DE1D23" w14:paraId="5BCC6E05" w14:textId="77777777" w:rsidTr="000666AB">
        <w:trPr>
          <w:trHeight w:val="288"/>
        </w:trPr>
        <w:tc>
          <w:tcPr>
            <w:tcW w:w="1783" w:type="dxa"/>
            <w:tcBorders>
              <w:top w:val="nil"/>
              <w:left w:val="nil"/>
              <w:bottom w:val="nil"/>
              <w:right w:val="nil"/>
            </w:tcBorders>
            <w:shd w:val="clear" w:color="auto" w:fill="D5DCE4" w:themeFill="text2" w:themeFillTint="33"/>
            <w:tcMar>
              <w:top w:w="0" w:type="dxa"/>
              <w:left w:w="108" w:type="dxa"/>
              <w:bottom w:w="0" w:type="dxa"/>
              <w:right w:w="108" w:type="dxa"/>
            </w:tcMar>
            <w:vAlign w:val="center"/>
            <w:hideMark/>
          </w:tcPr>
          <w:p w14:paraId="7883EC75" w14:textId="77777777" w:rsidR="000666AB" w:rsidRPr="00DE1D23" w:rsidRDefault="000666AB" w:rsidP="000666AB">
            <w:pPr>
              <w:spacing w:line="252" w:lineRule="auto"/>
              <w:ind w:left="62" w:right="-15"/>
              <w:contextualSpacing w:val="0"/>
              <w:rPr>
                <w:rFonts w:ascii="Arial" w:eastAsia="Calibri" w:hAnsi="Arial" w:cs="Arial"/>
                <w:sz w:val="20"/>
                <w:szCs w:val="20"/>
              </w:rPr>
            </w:pPr>
            <w:r w:rsidRPr="00DE1D23">
              <w:rPr>
                <w:rFonts w:ascii="Arial" w:eastAsia="Calibri" w:hAnsi="Arial" w:cs="Arial"/>
                <w:sz w:val="20"/>
                <w:szCs w:val="20"/>
              </w:rPr>
              <w:t>Waukesha</w:t>
            </w:r>
          </w:p>
        </w:tc>
        <w:tc>
          <w:tcPr>
            <w:tcW w:w="1264" w:type="dxa"/>
            <w:tcBorders>
              <w:top w:val="nil"/>
              <w:left w:val="nil"/>
              <w:bottom w:val="nil"/>
              <w:right w:val="nil"/>
            </w:tcBorders>
            <w:shd w:val="clear" w:color="auto" w:fill="D5DCE4" w:themeFill="text2" w:themeFillTint="33"/>
            <w:tcMar>
              <w:top w:w="0" w:type="dxa"/>
              <w:left w:w="108" w:type="dxa"/>
              <w:bottom w:w="0" w:type="dxa"/>
              <w:right w:w="108" w:type="dxa"/>
            </w:tcMar>
            <w:vAlign w:val="center"/>
          </w:tcPr>
          <w:p w14:paraId="78133AE3" w14:textId="77777777" w:rsidR="000666AB" w:rsidRPr="00620A04" w:rsidRDefault="000666AB" w:rsidP="000666AB">
            <w:pPr>
              <w:spacing w:line="252" w:lineRule="auto"/>
              <w:ind w:left="43" w:right="-14"/>
              <w:contextualSpacing w:val="0"/>
              <w:jc w:val="center"/>
              <w:rPr>
                <w:rFonts w:ascii="Arial" w:eastAsia="Calibri" w:hAnsi="Arial" w:cs="Arial"/>
                <w:sz w:val="20"/>
                <w:szCs w:val="20"/>
              </w:rPr>
            </w:pPr>
            <w:r w:rsidRPr="00620A04">
              <w:rPr>
                <w:rFonts w:ascii="Arial" w:hAnsi="Arial" w:cs="Arial"/>
                <w:sz w:val="20"/>
                <w:szCs w:val="20"/>
              </w:rPr>
              <w:t>$530,190</w:t>
            </w:r>
          </w:p>
        </w:tc>
        <w:tc>
          <w:tcPr>
            <w:tcW w:w="1183" w:type="dxa"/>
            <w:tcBorders>
              <w:top w:val="nil"/>
              <w:left w:val="nil"/>
              <w:bottom w:val="nil"/>
              <w:right w:val="nil"/>
            </w:tcBorders>
            <w:shd w:val="clear" w:color="auto" w:fill="D5DCE4" w:themeFill="text2" w:themeFillTint="33"/>
            <w:tcMar>
              <w:top w:w="0" w:type="dxa"/>
              <w:left w:w="108" w:type="dxa"/>
              <w:bottom w:w="0" w:type="dxa"/>
              <w:right w:w="108" w:type="dxa"/>
            </w:tcMar>
            <w:vAlign w:val="center"/>
          </w:tcPr>
          <w:p w14:paraId="14C7165F" w14:textId="77777777" w:rsidR="000666AB" w:rsidRPr="00620A04" w:rsidRDefault="000666AB" w:rsidP="000666AB">
            <w:pPr>
              <w:spacing w:line="252" w:lineRule="auto"/>
              <w:ind w:left="-3" w:right="-15"/>
              <w:contextualSpacing w:val="0"/>
              <w:jc w:val="center"/>
              <w:rPr>
                <w:rFonts w:ascii="Arial" w:eastAsia="Calibri" w:hAnsi="Arial" w:cs="Arial"/>
                <w:sz w:val="20"/>
                <w:szCs w:val="20"/>
              </w:rPr>
            </w:pPr>
            <w:r w:rsidRPr="00620A04">
              <w:rPr>
                <w:rFonts w:ascii="Arial" w:hAnsi="Arial" w:cs="Arial"/>
                <w:sz w:val="20"/>
                <w:szCs w:val="20"/>
              </w:rPr>
              <w:t>$576,331</w:t>
            </w:r>
          </w:p>
        </w:tc>
        <w:tc>
          <w:tcPr>
            <w:tcW w:w="1262" w:type="dxa"/>
            <w:tcBorders>
              <w:top w:val="nil"/>
              <w:left w:val="nil"/>
              <w:bottom w:val="nil"/>
              <w:right w:val="nil"/>
            </w:tcBorders>
            <w:shd w:val="clear" w:color="auto" w:fill="D5DCE4" w:themeFill="text2" w:themeFillTint="33"/>
            <w:vAlign w:val="center"/>
          </w:tcPr>
          <w:p w14:paraId="34B1F063" w14:textId="77777777" w:rsidR="000666AB" w:rsidRPr="00DB59A4" w:rsidRDefault="000666AB" w:rsidP="000666AB">
            <w:pPr>
              <w:spacing w:line="252" w:lineRule="auto"/>
              <w:ind w:left="184" w:right="185"/>
              <w:contextualSpacing w:val="0"/>
              <w:jc w:val="center"/>
              <w:rPr>
                <w:rFonts w:ascii="Arial" w:eastAsia="Calibri" w:hAnsi="Arial" w:cs="Arial"/>
                <w:sz w:val="20"/>
                <w:szCs w:val="20"/>
              </w:rPr>
            </w:pPr>
            <w:r w:rsidRPr="00DB59A4">
              <w:rPr>
                <w:rFonts w:ascii="Arial" w:hAnsi="Arial" w:cs="Arial"/>
                <w:sz w:val="20"/>
                <w:szCs w:val="20"/>
              </w:rPr>
              <w:t>$46,141</w:t>
            </w:r>
          </w:p>
        </w:tc>
        <w:tc>
          <w:tcPr>
            <w:tcW w:w="992" w:type="dxa"/>
            <w:tcBorders>
              <w:top w:val="nil"/>
              <w:left w:val="nil"/>
              <w:bottom w:val="nil"/>
              <w:right w:val="nil"/>
            </w:tcBorders>
            <w:shd w:val="clear" w:color="auto" w:fill="D5DCE4" w:themeFill="text2" w:themeFillTint="33"/>
            <w:vAlign w:val="center"/>
          </w:tcPr>
          <w:p w14:paraId="295FD072" w14:textId="77777777" w:rsidR="000666AB" w:rsidRPr="00DB59A4" w:rsidRDefault="000666AB" w:rsidP="000666AB">
            <w:pPr>
              <w:spacing w:line="252" w:lineRule="auto"/>
              <w:ind w:left="74" w:right="95"/>
              <w:contextualSpacing w:val="0"/>
              <w:jc w:val="center"/>
              <w:rPr>
                <w:rFonts w:ascii="Arial" w:eastAsia="Calibri" w:hAnsi="Arial" w:cs="Arial"/>
                <w:sz w:val="20"/>
                <w:szCs w:val="20"/>
              </w:rPr>
            </w:pPr>
            <w:r w:rsidRPr="00DB59A4">
              <w:rPr>
                <w:rFonts w:ascii="Arial" w:hAnsi="Arial" w:cs="Arial"/>
                <w:sz w:val="20"/>
                <w:szCs w:val="20"/>
              </w:rPr>
              <w:t>8.7%</w:t>
            </w:r>
          </w:p>
        </w:tc>
      </w:tr>
      <w:tr w:rsidR="000666AB" w:rsidRPr="00DE1D23" w14:paraId="1E50A212" w14:textId="77777777" w:rsidTr="000666AB">
        <w:trPr>
          <w:trHeight w:val="288"/>
        </w:trPr>
        <w:tc>
          <w:tcPr>
            <w:tcW w:w="1783" w:type="dxa"/>
            <w:tcBorders>
              <w:top w:val="nil"/>
              <w:left w:val="nil"/>
              <w:bottom w:val="nil"/>
              <w:right w:val="nil"/>
            </w:tcBorders>
            <w:tcMar>
              <w:top w:w="0" w:type="dxa"/>
              <w:left w:w="108" w:type="dxa"/>
              <w:bottom w:w="0" w:type="dxa"/>
              <w:right w:w="108" w:type="dxa"/>
            </w:tcMar>
            <w:vAlign w:val="center"/>
            <w:hideMark/>
          </w:tcPr>
          <w:p w14:paraId="4CA59008" w14:textId="77777777" w:rsidR="000666AB" w:rsidRPr="00DE1D23" w:rsidRDefault="000666AB" w:rsidP="000666AB">
            <w:pPr>
              <w:spacing w:line="252" w:lineRule="auto"/>
              <w:ind w:left="62" w:right="-15"/>
              <w:contextualSpacing w:val="0"/>
              <w:rPr>
                <w:rFonts w:ascii="Arial" w:eastAsia="Calibri" w:hAnsi="Arial" w:cs="Arial"/>
                <w:sz w:val="20"/>
                <w:szCs w:val="20"/>
              </w:rPr>
            </w:pPr>
            <w:r>
              <w:rPr>
                <w:rFonts w:ascii="Arial" w:eastAsia="Calibri" w:hAnsi="Arial" w:cs="Arial"/>
                <w:sz w:val="20"/>
                <w:szCs w:val="20"/>
              </w:rPr>
              <w:t>Ozaukee</w:t>
            </w:r>
          </w:p>
        </w:tc>
        <w:tc>
          <w:tcPr>
            <w:tcW w:w="1264" w:type="dxa"/>
            <w:tcBorders>
              <w:top w:val="nil"/>
              <w:left w:val="nil"/>
              <w:bottom w:val="nil"/>
              <w:right w:val="nil"/>
            </w:tcBorders>
            <w:tcMar>
              <w:top w:w="0" w:type="dxa"/>
              <w:left w:w="108" w:type="dxa"/>
              <w:bottom w:w="0" w:type="dxa"/>
              <w:right w:w="108" w:type="dxa"/>
            </w:tcMar>
            <w:vAlign w:val="center"/>
          </w:tcPr>
          <w:p w14:paraId="0693510F" w14:textId="77777777" w:rsidR="000666AB" w:rsidRPr="00620A04" w:rsidRDefault="000666AB" w:rsidP="000666AB">
            <w:pPr>
              <w:spacing w:line="252" w:lineRule="auto"/>
              <w:ind w:left="43" w:right="-14"/>
              <w:contextualSpacing w:val="0"/>
              <w:jc w:val="center"/>
              <w:rPr>
                <w:rFonts w:ascii="Arial" w:eastAsia="Calibri" w:hAnsi="Arial" w:cs="Arial"/>
                <w:sz w:val="20"/>
                <w:szCs w:val="20"/>
              </w:rPr>
            </w:pPr>
            <w:r w:rsidRPr="00620A04">
              <w:rPr>
                <w:rFonts w:ascii="Arial" w:hAnsi="Arial" w:cs="Arial"/>
                <w:sz w:val="20"/>
                <w:szCs w:val="20"/>
              </w:rPr>
              <w:t>$537,420</w:t>
            </w:r>
          </w:p>
        </w:tc>
        <w:tc>
          <w:tcPr>
            <w:tcW w:w="1183" w:type="dxa"/>
            <w:tcBorders>
              <w:top w:val="nil"/>
              <w:left w:val="nil"/>
              <w:bottom w:val="nil"/>
              <w:right w:val="nil"/>
            </w:tcBorders>
            <w:tcMar>
              <w:top w:w="0" w:type="dxa"/>
              <w:left w:w="108" w:type="dxa"/>
              <w:bottom w:w="0" w:type="dxa"/>
              <w:right w:w="108" w:type="dxa"/>
            </w:tcMar>
            <w:vAlign w:val="center"/>
          </w:tcPr>
          <w:p w14:paraId="5C99713B" w14:textId="77777777" w:rsidR="000666AB" w:rsidRPr="00620A04" w:rsidRDefault="000666AB" w:rsidP="000666AB">
            <w:pPr>
              <w:spacing w:line="252" w:lineRule="auto"/>
              <w:ind w:left="-3" w:right="-15"/>
              <w:contextualSpacing w:val="0"/>
              <w:jc w:val="center"/>
              <w:rPr>
                <w:rFonts w:ascii="Arial" w:eastAsia="Calibri" w:hAnsi="Arial" w:cs="Arial"/>
                <w:sz w:val="20"/>
                <w:szCs w:val="20"/>
              </w:rPr>
            </w:pPr>
            <w:r w:rsidRPr="00620A04">
              <w:rPr>
                <w:rFonts w:ascii="Arial" w:hAnsi="Arial" w:cs="Arial"/>
                <w:sz w:val="20"/>
                <w:szCs w:val="20"/>
              </w:rPr>
              <w:t>$556,596</w:t>
            </w:r>
          </w:p>
        </w:tc>
        <w:tc>
          <w:tcPr>
            <w:tcW w:w="1262" w:type="dxa"/>
            <w:tcBorders>
              <w:top w:val="nil"/>
              <w:left w:val="nil"/>
              <w:bottom w:val="nil"/>
              <w:right w:val="nil"/>
            </w:tcBorders>
            <w:vAlign w:val="center"/>
          </w:tcPr>
          <w:p w14:paraId="0599DAE6" w14:textId="77777777" w:rsidR="000666AB" w:rsidRPr="00DB59A4" w:rsidRDefault="000666AB" w:rsidP="000666AB">
            <w:pPr>
              <w:spacing w:line="252" w:lineRule="auto"/>
              <w:ind w:left="184" w:right="185"/>
              <w:contextualSpacing w:val="0"/>
              <w:jc w:val="center"/>
              <w:rPr>
                <w:rFonts w:ascii="Arial" w:eastAsia="Calibri" w:hAnsi="Arial" w:cs="Arial"/>
                <w:sz w:val="20"/>
                <w:szCs w:val="20"/>
              </w:rPr>
            </w:pPr>
            <w:r w:rsidRPr="00DB59A4">
              <w:rPr>
                <w:rFonts w:ascii="Arial" w:hAnsi="Arial" w:cs="Arial"/>
                <w:sz w:val="20"/>
                <w:szCs w:val="20"/>
              </w:rPr>
              <w:t>$19,176</w:t>
            </w:r>
          </w:p>
        </w:tc>
        <w:tc>
          <w:tcPr>
            <w:tcW w:w="992" w:type="dxa"/>
            <w:tcBorders>
              <w:top w:val="nil"/>
              <w:left w:val="nil"/>
              <w:bottom w:val="nil"/>
              <w:right w:val="nil"/>
            </w:tcBorders>
            <w:vAlign w:val="center"/>
          </w:tcPr>
          <w:p w14:paraId="7A6F63B2" w14:textId="77777777" w:rsidR="000666AB" w:rsidRPr="00DB59A4" w:rsidRDefault="000666AB" w:rsidP="000666AB">
            <w:pPr>
              <w:spacing w:line="252" w:lineRule="auto"/>
              <w:ind w:left="74" w:right="95"/>
              <w:contextualSpacing w:val="0"/>
              <w:jc w:val="center"/>
              <w:rPr>
                <w:rFonts w:ascii="Arial" w:eastAsia="Calibri" w:hAnsi="Arial" w:cs="Arial"/>
                <w:sz w:val="20"/>
                <w:szCs w:val="20"/>
              </w:rPr>
            </w:pPr>
            <w:r w:rsidRPr="00DB59A4">
              <w:rPr>
                <w:rFonts w:ascii="Arial" w:hAnsi="Arial" w:cs="Arial"/>
                <w:sz w:val="20"/>
                <w:szCs w:val="20"/>
              </w:rPr>
              <w:t>3.6%</w:t>
            </w:r>
          </w:p>
        </w:tc>
      </w:tr>
      <w:tr w:rsidR="000666AB" w:rsidRPr="00DE1D23" w14:paraId="5DE81204" w14:textId="77777777" w:rsidTr="000666AB">
        <w:trPr>
          <w:trHeight w:val="288"/>
        </w:trPr>
        <w:tc>
          <w:tcPr>
            <w:tcW w:w="1783" w:type="dxa"/>
            <w:tcBorders>
              <w:top w:val="nil"/>
              <w:left w:val="nil"/>
              <w:bottom w:val="single" w:sz="4" w:space="0" w:color="auto"/>
              <w:right w:val="nil"/>
            </w:tcBorders>
            <w:shd w:val="clear" w:color="auto" w:fill="D5DCE4" w:themeFill="text2" w:themeFillTint="33"/>
            <w:tcMar>
              <w:top w:w="0" w:type="dxa"/>
              <w:left w:w="108" w:type="dxa"/>
              <w:bottom w:w="0" w:type="dxa"/>
              <w:right w:w="108" w:type="dxa"/>
            </w:tcMar>
            <w:vAlign w:val="center"/>
            <w:hideMark/>
          </w:tcPr>
          <w:p w14:paraId="16665080" w14:textId="77777777" w:rsidR="000666AB" w:rsidRPr="00DE1D23" w:rsidRDefault="000666AB" w:rsidP="000666AB">
            <w:pPr>
              <w:spacing w:line="252" w:lineRule="auto"/>
              <w:ind w:left="62" w:right="-15"/>
              <w:contextualSpacing w:val="0"/>
              <w:rPr>
                <w:rFonts w:ascii="Arial" w:eastAsia="Calibri" w:hAnsi="Arial" w:cs="Arial"/>
                <w:sz w:val="20"/>
                <w:szCs w:val="20"/>
              </w:rPr>
            </w:pPr>
            <w:r>
              <w:rPr>
                <w:rFonts w:ascii="Arial" w:eastAsia="Calibri" w:hAnsi="Arial" w:cs="Arial"/>
                <w:sz w:val="20"/>
                <w:szCs w:val="20"/>
              </w:rPr>
              <w:t>Washington</w:t>
            </w:r>
          </w:p>
        </w:tc>
        <w:tc>
          <w:tcPr>
            <w:tcW w:w="1264" w:type="dxa"/>
            <w:tcBorders>
              <w:top w:val="nil"/>
              <w:left w:val="nil"/>
              <w:bottom w:val="single" w:sz="4" w:space="0" w:color="auto"/>
              <w:right w:val="nil"/>
            </w:tcBorders>
            <w:shd w:val="clear" w:color="auto" w:fill="D5DCE4" w:themeFill="text2" w:themeFillTint="33"/>
            <w:tcMar>
              <w:top w:w="0" w:type="dxa"/>
              <w:left w:w="108" w:type="dxa"/>
              <w:bottom w:w="0" w:type="dxa"/>
              <w:right w:w="108" w:type="dxa"/>
            </w:tcMar>
            <w:vAlign w:val="center"/>
          </w:tcPr>
          <w:p w14:paraId="6E2B0EAC" w14:textId="77777777" w:rsidR="000666AB" w:rsidRPr="00620A04" w:rsidRDefault="000666AB" w:rsidP="000666AB">
            <w:pPr>
              <w:spacing w:line="252" w:lineRule="auto"/>
              <w:ind w:left="43" w:right="-14"/>
              <w:contextualSpacing w:val="0"/>
              <w:jc w:val="center"/>
              <w:rPr>
                <w:rFonts w:ascii="Arial" w:eastAsia="Calibri" w:hAnsi="Arial" w:cs="Arial"/>
                <w:sz w:val="20"/>
                <w:szCs w:val="20"/>
              </w:rPr>
            </w:pPr>
            <w:r w:rsidRPr="00620A04">
              <w:rPr>
                <w:rFonts w:ascii="Arial" w:hAnsi="Arial" w:cs="Arial"/>
                <w:sz w:val="20"/>
                <w:szCs w:val="20"/>
              </w:rPr>
              <w:t>$414,303</w:t>
            </w:r>
          </w:p>
        </w:tc>
        <w:tc>
          <w:tcPr>
            <w:tcW w:w="1183" w:type="dxa"/>
            <w:tcBorders>
              <w:top w:val="nil"/>
              <w:left w:val="nil"/>
              <w:bottom w:val="single" w:sz="4" w:space="0" w:color="auto"/>
              <w:right w:val="nil"/>
            </w:tcBorders>
            <w:shd w:val="clear" w:color="auto" w:fill="D5DCE4" w:themeFill="text2" w:themeFillTint="33"/>
            <w:tcMar>
              <w:top w:w="0" w:type="dxa"/>
              <w:left w:w="108" w:type="dxa"/>
              <w:bottom w:w="0" w:type="dxa"/>
              <w:right w:w="108" w:type="dxa"/>
            </w:tcMar>
            <w:vAlign w:val="center"/>
          </w:tcPr>
          <w:p w14:paraId="04DEC3F7" w14:textId="77777777" w:rsidR="000666AB" w:rsidRPr="00620A04" w:rsidRDefault="000666AB" w:rsidP="000666AB">
            <w:pPr>
              <w:spacing w:line="252" w:lineRule="auto"/>
              <w:ind w:left="-3" w:right="-15"/>
              <w:contextualSpacing w:val="0"/>
              <w:jc w:val="center"/>
              <w:rPr>
                <w:rFonts w:ascii="Arial" w:eastAsia="Calibri" w:hAnsi="Arial" w:cs="Arial"/>
                <w:sz w:val="20"/>
                <w:szCs w:val="20"/>
              </w:rPr>
            </w:pPr>
            <w:r w:rsidRPr="00620A04">
              <w:rPr>
                <w:rFonts w:ascii="Arial" w:hAnsi="Arial" w:cs="Arial"/>
                <w:sz w:val="20"/>
                <w:szCs w:val="20"/>
              </w:rPr>
              <w:t>$431,952</w:t>
            </w:r>
          </w:p>
        </w:tc>
        <w:tc>
          <w:tcPr>
            <w:tcW w:w="1262" w:type="dxa"/>
            <w:tcBorders>
              <w:top w:val="nil"/>
              <w:left w:val="nil"/>
              <w:bottom w:val="nil"/>
              <w:right w:val="nil"/>
            </w:tcBorders>
            <w:shd w:val="clear" w:color="auto" w:fill="D5DCE4" w:themeFill="text2" w:themeFillTint="33"/>
            <w:vAlign w:val="center"/>
          </w:tcPr>
          <w:p w14:paraId="7110885C" w14:textId="77777777" w:rsidR="000666AB" w:rsidRPr="00DB59A4" w:rsidRDefault="000666AB" w:rsidP="000666AB">
            <w:pPr>
              <w:spacing w:line="252" w:lineRule="auto"/>
              <w:ind w:left="184" w:right="185"/>
              <w:contextualSpacing w:val="0"/>
              <w:jc w:val="center"/>
              <w:rPr>
                <w:rFonts w:ascii="Arial" w:eastAsia="Calibri" w:hAnsi="Arial" w:cs="Arial"/>
                <w:sz w:val="20"/>
                <w:szCs w:val="20"/>
              </w:rPr>
            </w:pPr>
            <w:r w:rsidRPr="00DB59A4">
              <w:rPr>
                <w:rFonts w:ascii="Arial" w:hAnsi="Arial" w:cs="Arial"/>
                <w:sz w:val="20"/>
                <w:szCs w:val="20"/>
              </w:rPr>
              <w:t>$17,649</w:t>
            </w:r>
          </w:p>
        </w:tc>
        <w:tc>
          <w:tcPr>
            <w:tcW w:w="992" w:type="dxa"/>
            <w:tcBorders>
              <w:top w:val="nil"/>
              <w:left w:val="nil"/>
              <w:bottom w:val="nil"/>
              <w:right w:val="nil"/>
            </w:tcBorders>
            <w:shd w:val="clear" w:color="auto" w:fill="D5DCE4" w:themeFill="text2" w:themeFillTint="33"/>
            <w:vAlign w:val="center"/>
          </w:tcPr>
          <w:p w14:paraId="224C2304" w14:textId="77777777" w:rsidR="000666AB" w:rsidRPr="00DB59A4" w:rsidRDefault="000666AB" w:rsidP="000666AB">
            <w:pPr>
              <w:spacing w:line="252" w:lineRule="auto"/>
              <w:ind w:left="74" w:right="95"/>
              <w:contextualSpacing w:val="0"/>
              <w:jc w:val="center"/>
              <w:rPr>
                <w:rFonts w:ascii="Arial" w:eastAsia="Calibri" w:hAnsi="Arial" w:cs="Arial"/>
                <w:sz w:val="20"/>
                <w:szCs w:val="20"/>
              </w:rPr>
            </w:pPr>
            <w:r w:rsidRPr="00DB59A4">
              <w:rPr>
                <w:rFonts w:ascii="Arial" w:hAnsi="Arial" w:cs="Arial"/>
                <w:sz w:val="20"/>
                <w:szCs w:val="20"/>
              </w:rPr>
              <w:t>4.3%</w:t>
            </w:r>
          </w:p>
        </w:tc>
      </w:tr>
      <w:tr w:rsidR="000666AB" w:rsidRPr="00DE1D23" w14:paraId="708FE786" w14:textId="77777777" w:rsidTr="000666AB">
        <w:trPr>
          <w:trHeight w:val="288"/>
        </w:trPr>
        <w:tc>
          <w:tcPr>
            <w:tcW w:w="1783" w:type="dxa"/>
            <w:tcBorders>
              <w:top w:val="single" w:sz="4" w:space="0" w:color="auto"/>
              <w:left w:val="nil"/>
              <w:bottom w:val="nil"/>
              <w:right w:val="nil"/>
            </w:tcBorders>
            <w:tcMar>
              <w:top w:w="0" w:type="dxa"/>
              <w:left w:w="108" w:type="dxa"/>
              <w:bottom w:w="0" w:type="dxa"/>
              <w:right w:w="108" w:type="dxa"/>
            </w:tcMar>
            <w:vAlign w:val="center"/>
            <w:hideMark/>
          </w:tcPr>
          <w:p w14:paraId="2B07FAD2" w14:textId="77777777" w:rsidR="000666AB" w:rsidRPr="00DE1D23" w:rsidRDefault="000666AB" w:rsidP="000666AB">
            <w:pPr>
              <w:spacing w:line="252" w:lineRule="auto"/>
              <w:ind w:left="62" w:right="-15"/>
              <w:contextualSpacing w:val="0"/>
              <w:rPr>
                <w:rFonts w:ascii="Arial" w:eastAsia="Calibri" w:hAnsi="Arial" w:cs="Arial"/>
                <w:sz w:val="20"/>
                <w:szCs w:val="20"/>
              </w:rPr>
            </w:pPr>
            <w:r w:rsidRPr="00DE1D23">
              <w:rPr>
                <w:rFonts w:ascii="Arial" w:eastAsia="Calibri" w:hAnsi="Arial" w:cs="Arial"/>
                <w:sz w:val="20"/>
                <w:szCs w:val="20"/>
              </w:rPr>
              <w:t>Metro Area Avg</w:t>
            </w:r>
          </w:p>
        </w:tc>
        <w:tc>
          <w:tcPr>
            <w:tcW w:w="1264" w:type="dxa"/>
            <w:tcBorders>
              <w:top w:val="single" w:sz="4" w:space="0" w:color="auto"/>
              <w:left w:val="nil"/>
              <w:bottom w:val="nil"/>
              <w:right w:val="nil"/>
            </w:tcBorders>
            <w:tcMar>
              <w:top w:w="0" w:type="dxa"/>
              <w:left w:w="108" w:type="dxa"/>
              <w:bottom w:w="0" w:type="dxa"/>
              <w:right w:w="108" w:type="dxa"/>
            </w:tcMar>
            <w:vAlign w:val="center"/>
          </w:tcPr>
          <w:p w14:paraId="6C2E1C2F" w14:textId="77777777" w:rsidR="000666AB" w:rsidRPr="00620A04" w:rsidRDefault="000666AB" w:rsidP="000666AB">
            <w:pPr>
              <w:spacing w:line="252" w:lineRule="auto"/>
              <w:ind w:left="43" w:right="-14"/>
              <w:contextualSpacing w:val="0"/>
              <w:jc w:val="center"/>
              <w:rPr>
                <w:rFonts w:ascii="Arial" w:eastAsia="Calibri" w:hAnsi="Arial" w:cs="Arial"/>
                <w:sz w:val="20"/>
                <w:szCs w:val="20"/>
              </w:rPr>
            </w:pPr>
            <w:r w:rsidRPr="00620A04">
              <w:rPr>
                <w:rFonts w:ascii="Arial" w:hAnsi="Arial" w:cs="Arial"/>
                <w:sz w:val="20"/>
                <w:szCs w:val="20"/>
              </w:rPr>
              <w:t>$443,605</w:t>
            </w:r>
          </w:p>
        </w:tc>
        <w:tc>
          <w:tcPr>
            <w:tcW w:w="1183" w:type="dxa"/>
            <w:tcBorders>
              <w:top w:val="single" w:sz="4" w:space="0" w:color="auto"/>
              <w:left w:val="nil"/>
              <w:bottom w:val="nil"/>
              <w:right w:val="nil"/>
            </w:tcBorders>
            <w:tcMar>
              <w:top w:w="0" w:type="dxa"/>
              <w:left w:w="108" w:type="dxa"/>
              <w:bottom w:w="0" w:type="dxa"/>
              <w:right w:w="108" w:type="dxa"/>
            </w:tcMar>
            <w:vAlign w:val="center"/>
          </w:tcPr>
          <w:p w14:paraId="3FFC255E" w14:textId="77777777" w:rsidR="000666AB" w:rsidRPr="00620A04" w:rsidRDefault="000666AB" w:rsidP="000666AB">
            <w:pPr>
              <w:spacing w:line="252" w:lineRule="auto"/>
              <w:ind w:left="-3" w:right="-15"/>
              <w:contextualSpacing w:val="0"/>
              <w:jc w:val="center"/>
              <w:rPr>
                <w:rFonts w:ascii="Arial" w:eastAsia="Calibri" w:hAnsi="Arial" w:cs="Arial"/>
                <w:b/>
                <w:bCs/>
                <w:sz w:val="20"/>
                <w:szCs w:val="20"/>
              </w:rPr>
            </w:pPr>
            <w:r w:rsidRPr="00620A04">
              <w:rPr>
                <w:rFonts w:ascii="Arial" w:hAnsi="Arial" w:cs="Arial"/>
                <w:sz w:val="20"/>
                <w:szCs w:val="20"/>
              </w:rPr>
              <w:t>$470,702</w:t>
            </w:r>
          </w:p>
        </w:tc>
        <w:tc>
          <w:tcPr>
            <w:tcW w:w="1262" w:type="dxa"/>
            <w:tcBorders>
              <w:top w:val="nil"/>
              <w:left w:val="nil"/>
              <w:bottom w:val="nil"/>
              <w:right w:val="nil"/>
            </w:tcBorders>
            <w:vAlign w:val="center"/>
          </w:tcPr>
          <w:p w14:paraId="47326F60" w14:textId="77777777" w:rsidR="000666AB" w:rsidRPr="00DB59A4" w:rsidRDefault="000666AB" w:rsidP="000666AB">
            <w:pPr>
              <w:spacing w:line="252" w:lineRule="auto"/>
              <w:ind w:left="184" w:right="185"/>
              <w:contextualSpacing w:val="0"/>
              <w:jc w:val="center"/>
              <w:rPr>
                <w:rFonts w:ascii="Arial" w:eastAsia="Calibri" w:hAnsi="Arial" w:cs="Arial"/>
                <w:sz w:val="20"/>
                <w:szCs w:val="20"/>
              </w:rPr>
            </w:pPr>
            <w:r w:rsidRPr="00DB59A4">
              <w:rPr>
                <w:rFonts w:ascii="Arial" w:hAnsi="Arial" w:cs="Arial"/>
                <w:sz w:val="20"/>
                <w:szCs w:val="20"/>
              </w:rPr>
              <w:t>$27,097</w:t>
            </w:r>
          </w:p>
        </w:tc>
        <w:tc>
          <w:tcPr>
            <w:tcW w:w="992" w:type="dxa"/>
            <w:tcBorders>
              <w:top w:val="nil"/>
              <w:left w:val="nil"/>
              <w:bottom w:val="nil"/>
              <w:right w:val="nil"/>
            </w:tcBorders>
            <w:vAlign w:val="center"/>
          </w:tcPr>
          <w:p w14:paraId="74E782C0" w14:textId="77777777" w:rsidR="000666AB" w:rsidRPr="00DB59A4" w:rsidRDefault="000666AB" w:rsidP="000666AB">
            <w:pPr>
              <w:spacing w:line="252" w:lineRule="auto"/>
              <w:ind w:left="74" w:right="95"/>
              <w:contextualSpacing w:val="0"/>
              <w:jc w:val="center"/>
              <w:rPr>
                <w:rFonts w:ascii="Arial" w:eastAsia="Calibri" w:hAnsi="Arial" w:cs="Arial"/>
                <w:sz w:val="20"/>
                <w:szCs w:val="20"/>
              </w:rPr>
            </w:pPr>
            <w:r w:rsidRPr="00DB59A4">
              <w:rPr>
                <w:rFonts w:ascii="Arial" w:hAnsi="Arial" w:cs="Arial"/>
                <w:sz w:val="20"/>
                <w:szCs w:val="20"/>
              </w:rPr>
              <w:t>6.1%</w:t>
            </w:r>
          </w:p>
        </w:tc>
      </w:tr>
      <w:tr w:rsidR="000666AB" w:rsidRPr="00DE1D23" w14:paraId="543FAF0A" w14:textId="77777777" w:rsidTr="000666AB">
        <w:trPr>
          <w:trHeight w:val="90"/>
        </w:trPr>
        <w:tc>
          <w:tcPr>
            <w:tcW w:w="6484" w:type="dxa"/>
            <w:gridSpan w:val="5"/>
            <w:tcBorders>
              <w:top w:val="nil"/>
              <w:left w:val="nil"/>
              <w:bottom w:val="nil"/>
              <w:right w:val="nil"/>
            </w:tcBorders>
            <w:shd w:val="clear" w:color="auto" w:fill="D5DCE4" w:themeFill="text2" w:themeFillTint="33"/>
            <w:tcMar>
              <w:top w:w="0" w:type="dxa"/>
              <w:left w:w="108" w:type="dxa"/>
              <w:bottom w:w="0" w:type="dxa"/>
              <w:right w:w="108" w:type="dxa"/>
            </w:tcMar>
            <w:vAlign w:val="center"/>
          </w:tcPr>
          <w:p w14:paraId="5BB1EF8C" w14:textId="77777777" w:rsidR="000666AB" w:rsidRPr="00DB59A4" w:rsidRDefault="000666AB" w:rsidP="000666AB">
            <w:pPr>
              <w:spacing w:line="252" w:lineRule="auto"/>
              <w:ind w:left="74" w:right="95"/>
              <w:contextualSpacing w:val="0"/>
              <w:jc w:val="center"/>
              <w:rPr>
                <w:rFonts w:ascii="Arial" w:eastAsia="Calibri" w:hAnsi="Arial" w:cs="Arial"/>
                <w:sz w:val="10"/>
                <w:szCs w:val="10"/>
              </w:rPr>
            </w:pPr>
          </w:p>
        </w:tc>
      </w:tr>
      <w:tr w:rsidR="000666AB" w:rsidRPr="00DE1D23" w14:paraId="003C67DE" w14:textId="77777777" w:rsidTr="000666AB">
        <w:trPr>
          <w:trHeight w:val="288"/>
        </w:trPr>
        <w:tc>
          <w:tcPr>
            <w:tcW w:w="1783" w:type="dxa"/>
            <w:tcBorders>
              <w:top w:val="nil"/>
              <w:left w:val="nil"/>
              <w:bottom w:val="nil"/>
              <w:right w:val="nil"/>
            </w:tcBorders>
            <w:tcMar>
              <w:top w:w="0" w:type="dxa"/>
              <w:left w:w="108" w:type="dxa"/>
              <w:bottom w:w="0" w:type="dxa"/>
              <w:right w:w="108" w:type="dxa"/>
            </w:tcMar>
            <w:vAlign w:val="center"/>
          </w:tcPr>
          <w:p w14:paraId="2A2B0307" w14:textId="77777777" w:rsidR="000666AB" w:rsidRPr="00DE1D23" w:rsidRDefault="000666AB" w:rsidP="000666AB">
            <w:pPr>
              <w:spacing w:line="252" w:lineRule="auto"/>
              <w:ind w:left="62" w:right="-15"/>
              <w:contextualSpacing w:val="0"/>
              <w:rPr>
                <w:rFonts w:ascii="Arial" w:eastAsia="Calibri" w:hAnsi="Arial" w:cs="Arial"/>
                <w:sz w:val="20"/>
                <w:szCs w:val="20"/>
              </w:rPr>
            </w:pPr>
            <w:r>
              <w:rPr>
                <w:rFonts w:ascii="Arial" w:eastAsia="Calibri" w:hAnsi="Arial" w:cs="Arial"/>
                <w:sz w:val="20"/>
                <w:szCs w:val="20"/>
              </w:rPr>
              <w:t>Sheboygan</w:t>
            </w:r>
          </w:p>
        </w:tc>
        <w:tc>
          <w:tcPr>
            <w:tcW w:w="1264" w:type="dxa"/>
            <w:tcBorders>
              <w:top w:val="nil"/>
              <w:left w:val="nil"/>
              <w:bottom w:val="nil"/>
              <w:right w:val="nil"/>
            </w:tcBorders>
            <w:tcMar>
              <w:top w:w="0" w:type="dxa"/>
              <w:left w:w="108" w:type="dxa"/>
              <w:bottom w:w="0" w:type="dxa"/>
              <w:right w:w="108" w:type="dxa"/>
            </w:tcMar>
            <w:vAlign w:val="center"/>
          </w:tcPr>
          <w:p w14:paraId="4F1FE8B4" w14:textId="77777777" w:rsidR="000666AB" w:rsidRPr="00620A04" w:rsidRDefault="000666AB" w:rsidP="000666AB">
            <w:pPr>
              <w:spacing w:line="252" w:lineRule="auto"/>
              <w:ind w:left="44" w:right="-15"/>
              <w:contextualSpacing w:val="0"/>
              <w:jc w:val="center"/>
              <w:rPr>
                <w:rFonts w:ascii="Arial" w:eastAsia="Calibri" w:hAnsi="Arial" w:cs="Arial"/>
                <w:sz w:val="20"/>
                <w:szCs w:val="20"/>
              </w:rPr>
            </w:pPr>
            <w:r w:rsidRPr="00620A04">
              <w:rPr>
                <w:rFonts w:ascii="Arial" w:hAnsi="Arial" w:cs="Arial"/>
                <w:sz w:val="20"/>
                <w:szCs w:val="20"/>
              </w:rPr>
              <w:t>$323,735</w:t>
            </w:r>
          </w:p>
        </w:tc>
        <w:tc>
          <w:tcPr>
            <w:tcW w:w="1183" w:type="dxa"/>
            <w:tcBorders>
              <w:top w:val="nil"/>
              <w:left w:val="nil"/>
              <w:bottom w:val="nil"/>
              <w:right w:val="nil"/>
            </w:tcBorders>
            <w:tcMar>
              <w:top w:w="0" w:type="dxa"/>
              <w:left w:w="108" w:type="dxa"/>
              <w:bottom w:w="0" w:type="dxa"/>
              <w:right w:w="108" w:type="dxa"/>
            </w:tcMar>
            <w:vAlign w:val="center"/>
          </w:tcPr>
          <w:p w14:paraId="162F0DF8" w14:textId="77777777" w:rsidR="000666AB" w:rsidRPr="00620A04" w:rsidRDefault="000666AB" w:rsidP="000666AB">
            <w:pPr>
              <w:spacing w:line="252" w:lineRule="auto"/>
              <w:ind w:left="-3" w:right="-15"/>
              <w:contextualSpacing w:val="0"/>
              <w:jc w:val="center"/>
              <w:rPr>
                <w:rFonts w:ascii="Arial" w:eastAsia="Calibri" w:hAnsi="Arial" w:cs="Arial"/>
                <w:sz w:val="20"/>
                <w:szCs w:val="20"/>
              </w:rPr>
            </w:pPr>
            <w:r w:rsidRPr="00620A04">
              <w:rPr>
                <w:rFonts w:ascii="Arial" w:hAnsi="Arial" w:cs="Arial"/>
                <w:sz w:val="20"/>
                <w:szCs w:val="20"/>
              </w:rPr>
              <w:t>$339,346</w:t>
            </w:r>
          </w:p>
        </w:tc>
        <w:tc>
          <w:tcPr>
            <w:tcW w:w="1262" w:type="dxa"/>
            <w:tcBorders>
              <w:top w:val="nil"/>
              <w:left w:val="nil"/>
              <w:bottom w:val="nil"/>
              <w:right w:val="nil"/>
            </w:tcBorders>
            <w:vAlign w:val="center"/>
          </w:tcPr>
          <w:p w14:paraId="2637AEFF" w14:textId="77777777" w:rsidR="000666AB" w:rsidRPr="00DB59A4" w:rsidRDefault="000666AB" w:rsidP="000666AB">
            <w:pPr>
              <w:spacing w:line="252" w:lineRule="auto"/>
              <w:ind w:left="184" w:right="185"/>
              <w:contextualSpacing w:val="0"/>
              <w:jc w:val="center"/>
              <w:rPr>
                <w:rFonts w:ascii="Arial" w:eastAsia="Calibri" w:hAnsi="Arial" w:cs="Arial"/>
                <w:sz w:val="20"/>
                <w:szCs w:val="20"/>
              </w:rPr>
            </w:pPr>
            <w:r w:rsidRPr="00DB59A4">
              <w:rPr>
                <w:rFonts w:ascii="Arial" w:hAnsi="Arial" w:cs="Arial"/>
                <w:sz w:val="20"/>
                <w:szCs w:val="20"/>
              </w:rPr>
              <w:t>$15,611</w:t>
            </w:r>
          </w:p>
        </w:tc>
        <w:tc>
          <w:tcPr>
            <w:tcW w:w="992" w:type="dxa"/>
            <w:tcBorders>
              <w:top w:val="nil"/>
              <w:left w:val="nil"/>
              <w:bottom w:val="nil"/>
              <w:right w:val="nil"/>
            </w:tcBorders>
            <w:vAlign w:val="center"/>
          </w:tcPr>
          <w:p w14:paraId="4141468D" w14:textId="77777777" w:rsidR="000666AB" w:rsidRPr="00DB59A4" w:rsidRDefault="000666AB" w:rsidP="000666AB">
            <w:pPr>
              <w:spacing w:line="252" w:lineRule="auto"/>
              <w:ind w:left="74" w:right="95"/>
              <w:contextualSpacing w:val="0"/>
              <w:jc w:val="center"/>
              <w:rPr>
                <w:rFonts w:ascii="Arial" w:eastAsia="Calibri" w:hAnsi="Arial" w:cs="Arial"/>
                <w:sz w:val="20"/>
                <w:szCs w:val="20"/>
              </w:rPr>
            </w:pPr>
            <w:r w:rsidRPr="00DB59A4">
              <w:rPr>
                <w:rFonts w:ascii="Arial" w:hAnsi="Arial" w:cs="Arial"/>
                <w:sz w:val="20"/>
                <w:szCs w:val="20"/>
              </w:rPr>
              <w:t>4.8%</w:t>
            </w:r>
          </w:p>
        </w:tc>
      </w:tr>
      <w:tr w:rsidR="000666AB" w:rsidRPr="00DE1D23" w14:paraId="64566F44" w14:textId="77777777" w:rsidTr="000666AB">
        <w:trPr>
          <w:trHeight w:val="288"/>
        </w:trPr>
        <w:tc>
          <w:tcPr>
            <w:tcW w:w="1783" w:type="dxa"/>
            <w:tcBorders>
              <w:top w:val="nil"/>
              <w:left w:val="nil"/>
              <w:bottom w:val="nil"/>
              <w:right w:val="nil"/>
            </w:tcBorders>
            <w:shd w:val="clear" w:color="auto" w:fill="D5DCE4" w:themeFill="text2" w:themeFillTint="33"/>
            <w:tcMar>
              <w:top w:w="0" w:type="dxa"/>
              <w:left w:w="108" w:type="dxa"/>
              <w:bottom w:w="0" w:type="dxa"/>
              <w:right w:w="108" w:type="dxa"/>
            </w:tcMar>
            <w:vAlign w:val="center"/>
          </w:tcPr>
          <w:p w14:paraId="28695E8E" w14:textId="77777777" w:rsidR="000666AB" w:rsidRPr="00DE1D23" w:rsidRDefault="000666AB" w:rsidP="000666AB">
            <w:pPr>
              <w:spacing w:line="252" w:lineRule="auto"/>
              <w:ind w:left="62" w:right="-15"/>
              <w:contextualSpacing w:val="0"/>
              <w:rPr>
                <w:rFonts w:ascii="Arial" w:eastAsia="Calibri" w:hAnsi="Arial" w:cs="Arial"/>
                <w:sz w:val="20"/>
                <w:szCs w:val="20"/>
              </w:rPr>
            </w:pPr>
            <w:r w:rsidRPr="00DE1D23">
              <w:rPr>
                <w:rFonts w:ascii="Arial" w:eastAsia="Calibri" w:hAnsi="Arial" w:cs="Arial"/>
                <w:sz w:val="20"/>
                <w:szCs w:val="20"/>
              </w:rPr>
              <w:t>Racine</w:t>
            </w:r>
          </w:p>
        </w:tc>
        <w:tc>
          <w:tcPr>
            <w:tcW w:w="1264" w:type="dxa"/>
            <w:tcBorders>
              <w:top w:val="nil"/>
              <w:left w:val="nil"/>
              <w:bottom w:val="nil"/>
              <w:right w:val="nil"/>
            </w:tcBorders>
            <w:shd w:val="clear" w:color="auto" w:fill="D5DCE4" w:themeFill="text2" w:themeFillTint="33"/>
            <w:tcMar>
              <w:top w:w="0" w:type="dxa"/>
              <w:left w:w="108" w:type="dxa"/>
              <w:bottom w:w="0" w:type="dxa"/>
              <w:right w:w="108" w:type="dxa"/>
            </w:tcMar>
            <w:vAlign w:val="center"/>
          </w:tcPr>
          <w:p w14:paraId="6D5D3C2F" w14:textId="77777777" w:rsidR="000666AB" w:rsidRPr="00620A04" w:rsidRDefault="000666AB" w:rsidP="000666AB">
            <w:pPr>
              <w:spacing w:line="252" w:lineRule="auto"/>
              <w:ind w:left="44" w:right="-15"/>
              <w:contextualSpacing w:val="0"/>
              <w:jc w:val="center"/>
              <w:rPr>
                <w:rFonts w:ascii="Arial" w:eastAsia="Calibri" w:hAnsi="Arial" w:cs="Arial"/>
                <w:sz w:val="20"/>
                <w:szCs w:val="20"/>
              </w:rPr>
            </w:pPr>
            <w:r w:rsidRPr="00620A04">
              <w:rPr>
                <w:rFonts w:ascii="Arial" w:hAnsi="Arial" w:cs="Arial"/>
                <w:sz w:val="20"/>
                <w:szCs w:val="20"/>
              </w:rPr>
              <w:t>$319,060</w:t>
            </w:r>
          </w:p>
        </w:tc>
        <w:tc>
          <w:tcPr>
            <w:tcW w:w="1183" w:type="dxa"/>
            <w:tcBorders>
              <w:top w:val="nil"/>
              <w:left w:val="nil"/>
              <w:bottom w:val="nil"/>
              <w:right w:val="nil"/>
            </w:tcBorders>
            <w:shd w:val="clear" w:color="auto" w:fill="D5DCE4" w:themeFill="text2" w:themeFillTint="33"/>
            <w:tcMar>
              <w:top w:w="0" w:type="dxa"/>
              <w:left w:w="108" w:type="dxa"/>
              <w:bottom w:w="0" w:type="dxa"/>
              <w:right w:w="108" w:type="dxa"/>
            </w:tcMar>
            <w:vAlign w:val="center"/>
          </w:tcPr>
          <w:p w14:paraId="2CDAD40E" w14:textId="77777777" w:rsidR="000666AB" w:rsidRPr="00620A04" w:rsidRDefault="000666AB" w:rsidP="000666AB">
            <w:pPr>
              <w:spacing w:line="252" w:lineRule="auto"/>
              <w:ind w:left="-3" w:right="-15"/>
              <w:contextualSpacing w:val="0"/>
              <w:jc w:val="center"/>
              <w:rPr>
                <w:rFonts w:ascii="Arial" w:eastAsia="Calibri" w:hAnsi="Arial" w:cs="Arial"/>
                <w:sz w:val="20"/>
                <w:szCs w:val="20"/>
              </w:rPr>
            </w:pPr>
            <w:r w:rsidRPr="00620A04">
              <w:rPr>
                <w:rFonts w:ascii="Arial" w:hAnsi="Arial" w:cs="Arial"/>
                <w:sz w:val="20"/>
                <w:szCs w:val="20"/>
              </w:rPr>
              <w:t>$335,259</w:t>
            </w:r>
          </w:p>
        </w:tc>
        <w:tc>
          <w:tcPr>
            <w:tcW w:w="1262" w:type="dxa"/>
            <w:tcBorders>
              <w:top w:val="nil"/>
              <w:left w:val="nil"/>
              <w:bottom w:val="nil"/>
              <w:right w:val="nil"/>
            </w:tcBorders>
            <w:shd w:val="clear" w:color="auto" w:fill="D5DCE4" w:themeFill="text2" w:themeFillTint="33"/>
            <w:vAlign w:val="center"/>
          </w:tcPr>
          <w:p w14:paraId="6205F606" w14:textId="77777777" w:rsidR="000666AB" w:rsidRPr="00DB59A4" w:rsidRDefault="000666AB" w:rsidP="000666AB">
            <w:pPr>
              <w:spacing w:line="252" w:lineRule="auto"/>
              <w:ind w:left="184" w:right="185"/>
              <w:contextualSpacing w:val="0"/>
              <w:jc w:val="center"/>
              <w:rPr>
                <w:rFonts w:ascii="Arial" w:eastAsia="Calibri" w:hAnsi="Arial" w:cs="Arial"/>
                <w:sz w:val="20"/>
                <w:szCs w:val="20"/>
              </w:rPr>
            </w:pPr>
            <w:r w:rsidRPr="00DB59A4">
              <w:rPr>
                <w:rFonts w:ascii="Arial" w:hAnsi="Arial" w:cs="Arial"/>
                <w:sz w:val="20"/>
                <w:szCs w:val="20"/>
              </w:rPr>
              <w:t>$16,199</w:t>
            </w:r>
          </w:p>
        </w:tc>
        <w:tc>
          <w:tcPr>
            <w:tcW w:w="992" w:type="dxa"/>
            <w:tcBorders>
              <w:top w:val="nil"/>
              <w:left w:val="nil"/>
              <w:bottom w:val="nil"/>
              <w:right w:val="nil"/>
            </w:tcBorders>
            <w:shd w:val="clear" w:color="auto" w:fill="D5DCE4" w:themeFill="text2" w:themeFillTint="33"/>
            <w:vAlign w:val="center"/>
          </w:tcPr>
          <w:p w14:paraId="19BC3553" w14:textId="77777777" w:rsidR="000666AB" w:rsidRPr="00DB59A4" w:rsidRDefault="000666AB" w:rsidP="000666AB">
            <w:pPr>
              <w:spacing w:line="252" w:lineRule="auto"/>
              <w:ind w:left="74" w:right="95"/>
              <w:contextualSpacing w:val="0"/>
              <w:jc w:val="center"/>
              <w:rPr>
                <w:rFonts w:ascii="Arial" w:eastAsia="Calibri" w:hAnsi="Arial" w:cs="Arial"/>
                <w:sz w:val="20"/>
                <w:szCs w:val="20"/>
              </w:rPr>
            </w:pPr>
            <w:r w:rsidRPr="00DB59A4">
              <w:rPr>
                <w:rFonts w:ascii="Arial" w:hAnsi="Arial" w:cs="Arial"/>
                <w:sz w:val="20"/>
                <w:szCs w:val="20"/>
              </w:rPr>
              <w:t>5.1%</w:t>
            </w:r>
          </w:p>
        </w:tc>
      </w:tr>
      <w:tr w:rsidR="000666AB" w:rsidRPr="00DE1D23" w14:paraId="032D41E8" w14:textId="77777777" w:rsidTr="000666AB">
        <w:trPr>
          <w:trHeight w:val="288"/>
        </w:trPr>
        <w:tc>
          <w:tcPr>
            <w:tcW w:w="1783" w:type="dxa"/>
            <w:tcBorders>
              <w:top w:val="nil"/>
              <w:left w:val="nil"/>
              <w:bottom w:val="nil"/>
              <w:right w:val="nil"/>
            </w:tcBorders>
            <w:tcMar>
              <w:top w:w="0" w:type="dxa"/>
              <w:left w:w="108" w:type="dxa"/>
              <w:bottom w:w="0" w:type="dxa"/>
              <w:right w:w="108" w:type="dxa"/>
            </w:tcMar>
            <w:vAlign w:val="center"/>
          </w:tcPr>
          <w:p w14:paraId="62F773CB" w14:textId="77777777" w:rsidR="000666AB" w:rsidRPr="00DE1D23" w:rsidRDefault="000666AB" w:rsidP="000666AB">
            <w:pPr>
              <w:spacing w:line="252" w:lineRule="auto"/>
              <w:ind w:left="62" w:right="-15"/>
              <w:contextualSpacing w:val="0"/>
              <w:rPr>
                <w:rFonts w:ascii="Arial" w:eastAsia="Calibri" w:hAnsi="Arial" w:cs="Arial"/>
                <w:sz w:val="20"/>
                <w:szCs w:val="20"/>
              </w:rPr>
            </w:pPr>
            <w:r w:rsidRPr="00DE1D23">
              <w:rPr>
                <w:rFonts w:ascii="Arial" w:eastAsia="Calibri" w:hAnsi="Arial" w:cs="Arial"/>
                <w:sz w:val="20"/>
                <w:szCs w:val="20"/>
              </w:rPr>
              <w:t>Kenosha</w:t>
            </w:r>
          </w:p>
        </w:tc>
        <w:tc>
          <w:tcPr>
            <w:tcW w:w="1264" w:type="dxa"/>
            <w:tcBorders>
              <w:top w:val="nil"/>
              <w:left w:val="nil"/>
              <w:bottom w:val="nil"/>
              <w:right w:val="nil"/>
            </w:tcBorders>
            <w:tcMar>
              <w:top w:w="0" w:type="dxa"/>
              <w:left w:w="108" w:type="dxa"/>
              <w:bottom w:w="0" w:type="dxa"/>
              <w:right w:w="108" w:type="dxa"/>
            </w:tcMar>
            <w:vAlign w:val="center"/>
          </w:tcPr>
          <w:p w14:paraId="4A2228C2" w14:textId="77777777" w:rsidR="000666AB" w:rsidRPr="00620A04" w:rsidRDefault="000666AB" w:rsidP="000666AB">
            <w:pPr>
              <w:spacing w:line="252" w:lineRule="auto"/>
              <w:ind w:left="44" w:right="-15"/>
              <w:contextualSpacing w:val="0"/>
              <w:jc w:val="center"/>
              <w:rPr>
                <w:rFonts w:ascii="Arial" w:eastAsia="Calibri" w:hAnsi="Arial" w:cs="Arial"/>
                <w:sz w:val="20"/>
                <w:szCs w:val="20"/>
              </w:rPr>
            </w:pPr>
            <w:r w:rsidRPr="00620A04">
              <w:rPr>
                <w:rFonts w:ascii="Arial" w:hAnsi="Arial" w:cs="Arial"/>
                <w:sz w:val="20"/>
                <w:szCs w:val="20"/>
              </w:rPr>
              <w:t>$343,097</w:t>
            </w:r>
          </w:p>
        </w:tc>
        <w:tc>
          <w:tcPr>
            <w:tcW w:w="1183" w:type="dxa"/>
            <w:tcBorders>
              <w:top w:val="nil"/>
              <w:left w:val="nil"/>
              <w:bottom w:val="nil"/>
              <w:right w:val="nil"/>
            </w:tcBorders>
            <w:tcMar>
              <w:top w:w="0" w:type="dxa"/>
              <w:left w:w="108" w:type="dxa"/>
              <w:bottom w:w="0" w:type="dxa"/>
              <w:right w:w="108" w:type="dxa"/>
            </w:tcMar>
            <w:vAlign w:val="center"/>
          </w:tcPr>
          <w:p w14:paraId="1B82778A" w14:textId="77777777" w:rsidR="000666AB" w:rsidRPr="00620A04" w:rsidRDefault="000666AB" w:rsidP="000666AB">
            <w:pPr>
              <w:spacing w:line="252" w:lineRule="auto"/>
              <w:ind w:left="-3" w:right="-15"/>
              <w:contextualSpacing w:val="0"/>
              <w:jc w:val="center"/>
              <w:rPr>
                <w:rFonts w:ascii="Arial" w:eastAsia="Calibri" w:hAnsi="Arial" w:cs="Arial"/>
                <w:sz w:val="20"/>
                <w:szCs w:val="20"/>
              </w:rPr>
            </w:pPr>
            <w:r w:rsidRPr="00620A04">
              <w:rPr>
                <w:rFonts w:ascii="Arial" w:hAnsi="Arial" w:cs="Arial"/>
                <w:sz w:val="20"/>
                <w:szCs w:val="20"/>
              </w:rPr>
              <w:t>$355,801</w:t>
            </w:r>
          </w:p>
        </w:tc>
        <w:tc>
          <w:tcPr>
            <w:tcW w:w="1262" w:type="dxa"/>
            <w:tcBorders>
              <w:top w:val="nil"/>
              <w:left w:val="nil"/>
              <w:bottom w:val="nil"/>
              <w:right w:val="nil"/>
            </w:tcBorders>
            <w:vAlign w:val="center"/>
          </w:tcPr>
          <w:p w14:paraId="7730B389" w14:textId="77777777" w:rsidR="000666AB" w:rsidRPr="00DB59A4" w:rsidRDefault="000666AB" w:rsidP="000666AB">
            <w:pPr>
              <w:spacing w:line="252" w:lineRule="auto"/>
              <w:ind w:left="184" w:right="185"/>
              <w:contextualSpacing w:val="0"/>
              <w:jc w:val="center"/>
              <w:rPr>
                <w:rFonts w:ascii="Arial" w:eastAsia="Calibri" w:hAnsi="Arial" w:cs="Arial"/>
                <w:sz w:val="20"/>
                <w:szCs w:val="20"/>
              </w:rPr>
            </w:pPr>
            <w:r w:rsidRPr="00DB59A4">
              <w:rPr>
                <w:rFonts w:ascii="Arial" w:hAnsi="Arial" w:cs="Arial"/>
                <w:sz w:val="20"/>
                <w:szCs w:val="20"/>
              </w:rPr>
              <w:t>$12,704</w:t>
            </w:r>
          </w:p>
        </w:tc>
        <w:tc>
          <w:tcPr>
            <w:tcW w:w="992" w:type="dxa"/>
            <w:tcBorders>
              <w:top w:val="nil"/>
              <w:left w:val="nil"/>
              <w:bottom w:val="nil"/>
              <w:right w:val="nil"/>
            </w:tcBorders>
            <w:vAlign w:val="center"/>
          </w:tcPr>
          <w:p w14:paraId="226476C6" w14:textId="77777777" w:rsidR="000666AB" w:rsidRPr="00DB59A4" w:rsidRDefault="000666AB" w:rsidP="000666AB">
            <w:pPr>
              <w:spacing w:line="252" w:lineRule="auto"/>
              <w:ind w:left="74" w:right="95"/>
              <w:contextualSpacing w:val="0"/>
              <w:jc w:val="center"/>
              <w:rPr>
                <w:rFonts w:ascii="Arial" w:eastAsia="Calibri" w:hAnsi="Arial" w:cs="Arial"/>
                <w:sz w:val="20"/>
                <w:szCs w:val="20"/>
              </w:rPr>
            </w:pPr>
            <w:r w:rsidRPr="00DB59A4">
              <w:rPr>
                <w:rFonts w:ascii="Arial" w:hAnsi="Arial" w:cs="Arial"/>
                <w:sz w:val="20"/>
                <w:szCs w:val="20"/>
              </w:rPr>
              <w:t>3.7%</w:t>
            </w:r>
          </w:p>
        </w:tc>
      </w:tr>
      <w:tr w:rsidR="000666AB" w:rsidRPr="00DE1D23" w14:paraId="3FD23450" w14:textId="77777777" w:rsidTr="000666AB">
        <w:trPr>
          <w:trHeight w:val="288"/>
        </w:trPr>
        <w:tc>
          <w:tcPr>
            <w:tcW w:w="1783" w:type="dxa"/>
            <w:tcBorders>
              <w:top w:val="nil"/>
              <w:left w:val="nil"/>
              <w:bottom w:val="single" w:sz="4" w:space="0" w:color="auto"/>
              <w:right w:val="nil"/>
            </w:tcBorders>
            <w:shd w:val="clear" w:color="auto" w:fill="D5DCE4" w:themeFill="text2" w:themeFillTint="33"/>
            <w:tcMar>
              <w:top w:w="0" w:type="dxa"/>
              <w:left w:w="108" w:type="dxa"/>
              <w:bottom w:w="0" w:type="dxa"/>
              <w:right w:w="108" w:type="dxa"/>
            </w:tcMar>
            <w:vAlign w:val="center"/>
          </w:tcPr>
          <w:p w14:paraId="7A4608B1" w14:textId="77777777" w:rsidR="000666AB" w:rsidRPr="00DE1D23" w:rsidRDefault="000666AB" w:rsidP="000666AB">
            <w:pPr>
              <w:spacing w:line="252" w:lineRule="auto"/>
              <w:ind w:left="62" w:right="-15"/>
              <w:contextualSpacing w:val="0"/>
              <w:rPr>
                <w:rFonts w:ascii="Arial" w:eastAsia="Calibri" w:hAnsi="Arial" w:cs="Arial"/>
                <w:sz w:val="20"/>
                <w:szCs w:val="20"/>
              </w:rPr>
            </w:pPr>
            <w:r w:rsidRPr="00DE1D23">
              <w:rPr>
                <w:rFonts w:ascii="Arial" w:eastAsia="Calibri" w:hAnsi="Arial" w:cs="Arial"/>
                <w:sz w:val="20"/>
                <w:szCs w:val="20"/>
              </w:rPr>
              <w:t>Walworth</w:t>
            </w:r>
          </w:p>
        </w:tc>
        <w:tc>
          <w:tcPr>
            <w:tcW w:w="1264" w:type="dxa"/>
            <w:tcBorders>
              <w:top w:val="nil"/>
              <w:left w:val="nil"/>
              <w:bottom w:val="single" w:sz="4" w:space="0" w:color="auto"/>
              <w:right w:val="nil"/>
            </w:tcBorders>
            <w:shd w:val="clear" w:color="auto" w:fill="D5DCE4" w:themeFill="text2" w:themeFillTint="33"/>
            <w:tcMar>
              <w:top w:w="0" w:type="dxa"/>
              <w:left w:w="108" w:type="dxa"/>
              <w:bottom w:w="0" w:type="dxa"/>
              <w:right w:w="108" w:type="dxa"/>
            </w:tcMar>
            <w:vAlign w:val="center"/>
          </w:tcPr>
          <w:p w14:paraId="6BC85CF8" w14:textId="77777777" w:rsidR="000666AB" w:rsidRPr="00620A04" w:rsidRDefault="000666AB" w:rsidP="000666AB">
            <w:pPr>
              <w:spacing w:line="252" w:lineRule="auto"/>
              <w:ind w:left="44" w:right="-15"/>
              <w:contextualSpacing w:val="0"/>
              <w:jc w:val="center"/>
              <w:rPr>
                <w:rFonts w:ascii="Arial" w:eastAsia="Calibri" w:hAnsi="Arial" w:cs="Arial"/>
                <w:sz w:val="20"/>
                <w:szCs w:val="20"/>
              </w:rPr>
            </w:pPr>
            <w:r w:rsidRPr="00620A04">
              <w:rPr>
                <w:rFonts w:ascii="Arial" w:hAnsi="Arial" w:cs="Arial"/>
                <w:sz w:val="20"/>
                <w:szCs w:val="20"/>
              </w:rPr>
              <w:t>$552,732</w:t>
            </w:r>
          </w:p>
        </w:tc>
        <w:tc>
          <w:tcPr>
            <w:tcW w:w="1183" w:type="dxa"/>
            <w:tcBorders>
              <w:top w:val="nil"/>
              <w:left w:val="nil"/>
              <w:bottom w:val="single" w:sz="4" w:space="0" w:color="auto"/>
              <w:right w:val="nil"/>
            </w:tcBorders>
            <w:shd w:val="clear" w:color="auto" w:fill="D5DCE4" w:themeFill="text2" w:themeFillTint="33"/>
            <w:tcMar>
              <w:top w:w="0" w:type="dxa"/>
              <w:left w:w="108" w:type="dxa"/>
              <w:bottom w:w="0" w:type="dxa"/>
              <w:right w:w="108" w:type="dxa"/>
            </w:tcMar>
            <w:vAlign w:val="center"/>
          </w:tcPr>
          <w:p w14:paraId="00A391CE" w14:textId="77777777" w:rsidR="000666AB" w:rsidRPr="00620A04" w:rsidRDefault="000666AB" w:rsidP="000666AB">
            <w:pPr>
              <w:spacing w:line="252" w:lineRule="auto"/>
              <w:ind w:left="-3" w:right="-15"/>
              <w:contextualSpacing w:val="0"/>
              <w:jc w:val="center"/>
              <w:rPr>
                <w:rFonts w:ascii="Arial" w:eastAsia="Calibri" w:hAnsi="Arial" w:cs="Arial"/>
                <w:sz w:val="20"/>
                <w:szCs w:val="20"/>
              </w:rPr>
            </w:pPr>
            <w:r w:rsidRPr="00620A04">
              <w:rPr>
                <w:rFonts w:ascii="Arial" w:hAnsi="Arial" w:cs="Arial"/>
                <w:sz w:val="20"/>
                <w:szCs w:val="20"/>
              </w:rPr>
              <w:t>$600,062</w:t>
            </w:r>
          </w:p>
        </w:tc>
        <w:tc>
          <w:tcPr>
            <w:tcW w:w="1262" w:type="dxa"/>
            <w:tcBorders>
              <w:top w:val="nil"/>
              <w:left w:val="nil"/>
              <w:bottom w:val="nil"/>
              <w:right w:val="nil"/>
            </w:tcBorders>
            <w:shd w:val="clear" w:color="auto" w:fill="D5DCE4" w:themeFill="text2" w:themeFillTint="33"/>
            <w:vAlign w:val="center"/>
          </w:tcPr>
          <w:p w14:paraId="1E1D3B1E" w14:textId="77777777" w:rsidR="000666AB" w:rsidRPr="00DB59A4" w:rsidRDefault="000666AB" w:rsidP="000666AB">
            <w:pPr>
              <w:spacing w:line="252" w:lineRule="auto"/>
              <w:ind w:left="184" w:right="185"/>
              <w:contextualSpacing w:val="0"/>
              <w:jc w:val="center"/>
              <w:rPr>
                <w:rFonts w:ascii="Arial" w:eastAsia="Calibri" w:hAnsi="Arial" w:cs="Arial"/>
                <w:sz w:val="20"/>
                <w:szCs w:val="20"/>
              </w:rPr>
            </w:pPr>
            <w:r w:rsidRPr="00DB59A4">
              <w:rPr>
                <w:rFonts w:ascii="Arial" w:hAnsi="Arial" w:cs="Arial"/>
                <w:sz w:val="20"/>
                <w:szCs w:val="20"/>
              </w:rPr>
              <w:t>$47,330</w:t>
            </w:r>
          </w:p>
        </w:tc>
        <w:tc>
          <w:tcPr>
            <w:tcW w:w="992" w:type="dxa"/>
            <w:tcBorders>
              <w:top w:val="nil"/>
              <w:left w:val="nil"/>
              <w:bottom w:val="nil"/>
              <w:right w:val="nil"/>
            </w:tcBorders>
            <w:shd w:val="clear" w:color="auto" w:fill="D5DCE4" w:themeFill="text2" w:themeFillTint="33"/>
            <w:vAlign w:val="center"/>
          </w:tcPr>
          <w:p w14:paraId="6271B8FA" w14:textId="77777777" w:rsidR="000666AB" w:rsidRPr="00DB59A4" w:rsidRDefault="000666AB" w:rsidP="000666AB">
            <w:pPr>
              <w:spacing w:line="252" w:lineRule="auto"/>
              <w:ind w:left="74" w:right="95"/>
              <w:contextualSpacing w:val="0"/>
              <w:jc w:val="center"/>
              <w:rPr>
                <w:rFonts w:ascii="Arial" w:eastAsia="Calibri" w:hAnsi="Arial" w:cs="Arial"/>
                <w:sz w:val="20"/>
                <w:szCs w:val="20"/>
              </w:rPr>
            </w:pPr>
            <w:r w:rsidRPr="00DB59A4">
              <w:rPr>
                <w:rFonts w:ascii="Arial" w:hAnsi="Arial" w:cs="Arial"/>
                <w:sz w:val="20"/>
                <w:szCs w:val="20"/>
              </w:rPr>
              <w:t>8.6%</w:t>
            </w:r>
          </w:p>
        </w:tc>
      </w:tr>
      <w:tr w:rsidR="000666AB" w:rsidRPr="00DE1D23" w14:paraId="5EC97A6C" w14:textId="77777777" w:rsidTr="000666AB">
        <w:trPr>
          <w:trHeight w:val="288"/>
        </w:trPr>
        <w:tc>
          <w:tcPr>
            <w:tcW w:w="1783" w:type="dxa"/>
            <w:tcBorders>
              <w:top w:val="single" w:sz="4" w:space="0" w:color="auto"/>
              <w:left w:val="nil"/>
              <w:bottom w:val="nil"/>
              <w:right w:val="nil"/>
            </w:tcBorders>
            <w:tcMar>
              <w:top w:w="0" w:type="dxa"/>
              <w:left w:w="108" w:type="dxa"/>
              <w:bottom w:w="0" w:type="dxa"/>
              <w:right w:w="108" w:type="dxa"/>
            </w:tcMar>
            <w:vAlign w:val="center"/>
          </w:tcPr>
          <w:p w14:paraId="7E2DA8FD" w14:textId="77777777" w:rsidR="000666AB" w:rsidRPr="00DE1D23" w:rsidRDefault="000666AB" w:rsidP="000666AB">
            <w:pPr>
              <w:spacing w:line="252" w:lineRule="auto"/>
              <w:ind w:left="62" w:right="-15"/>
              <w:contextualSpacing w:val="0"/>
              <w:rPr>
                <w:rFonts w:ascii="Arial" w:eastAsia="Calibri" w:hAnsi="Arial" w:cs="Arial"/>
                <w:sz w:val="20"/>
                <w:szCs w:val="20"/>
              </w:rPr>
            </w:pPr>
            <w:r w:rsidRPr="00DE1D23">
              <w:rPr>
                <w:rFonts w:ascii="Arial" w:eastAsia="Calibri" w:hAnsi="Arial" w:cs="Arial"/>
                <w:sz w:val="20"/>
                <w:szCs w:val="20"/>
              </w:rPr>
              <w:t>SE WI Area Avg</w:t>
            </w:r>
          </w:p>
        </w:tc>
        <w:tc>
          <w:tcPr>
            <w:tcW w:w="1264" w:type="dxa"/>
            <w:tcBorders>
              <w:top w:val="single" w:sz="4" w:space="0" w:color="auto"/>
              <w:left w:val="nil"/>
              <w:bottom w:val="nil"/>
              <w:right w:val="nil"/>
            </w:tcBorders>
            <w:tcMar>
              <w:top w:w="0" w:type="dxa"/>
              <w:left w:w="108" w:type="dxa"/>
              <w:bottom w:w="0" w:type="dxa"/>
              <w:right w:w="108" w:type="dxa"/>
            </w:tcMar>
            <w:vAlign w:val="center"/>
          </w:tcPr>
          <w:p w14:paraId="38B90080" w14:textId="77777777" w:rsidR="000666AB" w:rsidRPr="00620A04" w:rsidRDefault="000666AB" w:rsidP="000666AB">
            <w:pPr>
              <w:spacing w:line="252" w:lineRule="auto"/>
              <w:ind w:left="44" w:right="-15"/>
              <w:contextualSpacing w:val="0"/>
              <w:jc w:val="center"/>
              <w:rPr>
                <w:rFonts w:ascii="Arial" w:eastAsia="Calibri" w:hAnsi="Arial" w:cs="Arial"/>
                <w:sz w:val="20"/>
                <w:szCs w:val="20"/>
              </w:rPr>
            </w:pPr>
            <w:r w:rsidRPr="00620A04">
              <w:rPr>
                <w:rFonts w:ascii="Arial" w:hAnsi="Arial" w:cs="Arial"/>
                <w:sz w:val="20"/>
                <w:szCs w:val="20"/>
              </w:rPr>
              <w:t>$473,292</w:t>
            </w:r>
          </w:p>
        </w:tc>
        <w:tc>
          <w:tcPr>
            <w:tcW w:w="1183" w:type="dxa"/>
            <w:tcBorders>
              <w:top w:val="single" w:sz="4" w:space="0" w:color="auto"/>
              <w:left w:val="nil"/>
              <w:bottom w:val="nil"/>
              <w:right w:val="nil"/>
            </w:tcBorders>
            <w:tcMar>
              <w:top w:w="0" w:type="dxa"/>
              <w:left w:w="108" w:type="dxa"/>
              <w:bottom w:w="0" w:type="dxa"/>
              <w:right w:w="108" w:type="dxa"/>
            </w:tcMar>
            <w:vAlign w:val="center"/>
          </w:tcPr>
          <w:p w14:paraId="2C54FB74" w14:textId="77777777" w:rsidR="000666AB" w:rsidRPr="00620A04" w:rsidRDefault="000666AB" w:rsidP="000666AB">
            <w:pPr>
              <w:spacing w:line="252" w:lineRule="auto"/>
              <w:ind w:left="-3" w:right="-15"/>
              <w:contextualSpacing w:val="0"/>
              <w:jc w:val="center"/>
              <w:rPr>
                <w:rFonts w:ascii="Arial" w:eastAsia="Calibri" w:hAnsi="Arial" w:cs="Arial"/>
                <w:sz w:val="20"/>
                <w:szCs w:val="20"/>
              </w:rPr>
            </w:pPr>
            <w:r w:rsidRPr="00620A04">
              <w:rPr>
                <w:rFonts w:ascii="Arial" w:hAnsi="Arial" w:cs="Arial"/>
                <w:sz w:val="20"/>
                <w:szCs w:val="20"/>
              </w:rPr>
              <w:t>$501,896</w:t>
            </w:r>
          </w:p>
        </w:tc>
        <w:tc>
          <w:tcPr>
            <w:tcW w:w="1262" w:type="dxa"/>
            <w:tcBorders>
              <w:top w:val="nil"/>
              <w:left w:val="nil"/>
              <w:bottom w:val="nil"/>
              <w:right w:val="nil"/>
            </w:tcBorders>
            <w:vAlign w:val="center"/>
          </w:tcPr>
          <w:p w14:paraId="533F5985" w14:textId="77777777" w:rsidR="000666AB" w:rsidRPr="00DB59A4" w:rsidRDefault="000666AB" w:rsidP="000666AB">
            <w:pPr>
              <w:spacing w:line="252" w:lineRule="auto"/>
              <w:ind w:left="184" w:right="185"/>
              <w:contextualSpacing w:val="0"/>
              <w:jc w:val="center"/>
              <w:rPr>
                <w:rFonts w:ascii="Arial" w:eastAsia="Calibri" w:hAnsi="Arial" w:cs="Arial"/>
                <w:sz w:val="20"/>
                <w:szCs w:val="20"/>
              </w:rPr>
            </w:pPr>
            <w:r w:rsidRPr="00DB59A4">
              <w:rPr>
                <w:rFonts w:ascii="Arial" w:hAnsi="Arial" w:cs="Arial"/>
                <w:sz w:val="20"/>
                <w:szCs w:val="20"/>
              </w:rPr>
              <w:t>$28,605</w:t>
            </w:r>
          </w:p>
        </w:tc>
        <w:tc>
          <w:tcPr>
            <w:tcW w:w="992" w:type="dxa"/>
            <w:tcBorders>
              <w:top w:val="nil"/>
              <w:left w:val="nil"/>
              <w:bottom w:val="nil"/>
              <w:right w:val="nil"/>
            </w:tcBorders>
            <w:vAlign w:val="center"/>
          </w:tcPr>
          <w:p w14:paraId="405A2EFD" w14:textId="77777777" w:rsidR="000666AB" w:rsidRPr="00DB59A4" w:rsidRDefault="000666AB" w:rsidP="000666AB">
            <w:pPr>
              <w:spacing w:line="252" w:lineRule="auto"/>
              <w:ind w:left="74" w:right="95"/>
              <w:contextualSpacing w:val="0"/>
              <w:jc w:val="center"/>
              <w:rPr>
                <w:rFonts w:ascii="Arial" w:eastAsia="Calibri" w:hAnsi="Arial" w:cs="Arial"/>
                <w:sz w:val="20"/>
                <w:szCs w:val="20"/>
              </w:rPr>
            </w:pPr>
            <w:r w:rsidRPr="00DB59A4">
              <w:rPr>
                <w:rFonts w:ascii="Arial" w:hAnsi="Arial" w:cs="Arial"/>
                <w:sz w:val="20"/>
                <w:szCs w:val="20"/>
              </w:rPr>
              <w:t>6.0%</w:t>
            </w:r>
          </w:p>
        </w:tc>
      </w:tr>
    </w:tbl>
    <w:p w14:paraId="06F36CE1" w14:textId="77777777" w:rsidR="00874408" w:rsidRDefault="00001ECE" w:rsidP="00001ECE">
      <w:r>
        <w:t xml:space="preserve">The only effective way to ease current market conditions is to increase housing supply. </w:t>
      </w:r>
    </w:p>
    <w:p w14:paraId="1DCF84BE" w14:textId="77777777" w:rsidR="00874408" w:rsidRDefault="00874408" w:rsidP="00001ECE"/>
    <w:p w14:paraId="44CDEF02" w14:textId="43A4A15F" w:rsidR="00001ECE" w:rsidRDefault="00001ECE" w:rsidP="00001ECE">
      <w:r>
        <w:t>Additional supply would help slow the pace of price increases, though it would not cause prices to decline.</w:t>
      </w:r>
    </w:p>
    <w:p w14:paraId="6D1D7F62" w14:textId="77777777" w:rsidR="00001ECE" w:rsidRDefault="00001ECE" w:rsidP="00001ECE"/>
    <w:p w14:paraId="2B56FD50" w14:textId="3EB2D18A" w:rsidR="00001ECE" w:rsidRDefault="00001ECE" w:rsidP="00001ECE">
      <w:r>
        <w:t>The market needs approximately 8,000 additional units to meet current demand and allow price growth to moderate. However, in December there were only 3,303 new listings, highlighting the depth of the supply shortage.</w:t>
      </w:r>
    </w:p>
    <w:p w14:paraId="4340BAE2" w14:textId="77777777" w:rsidR="00001ECE" w:rsidRDefault="00001ECE" w:rsidP="00001ECE">
      <w:r>
        <w:lastRenderedPageBreak/>
        <w:t>On the demand side, the market is being influenced by generational pressures. Millennial and Gen Z first-time buyers are competing directly with Baby Boomer empty nesters, all seeking housing at the same time.</w:t>
      </w:r>
    </w:p>
    <w:p w14:paraId="5079BF21" w14:textId="77777777" w:rsidR="00001ECE" w:rsidRDefault="00001ECE" w:rsidP="00001ECE"/>
    <w:p w14:paraId="254E3B42" w14:textId="03843712" w:rsidR="00001ECE" w:rsidRDefault="00001ECE" w:rsidP="00001ECE">
      <w:r>
        <w:t xml:space="preserve">As we have emphasized for </w:t>
      </w:r>
      <w:r w:rsidRPr="00874408">
        <w:rPr>
          <w:i/>
          <w:iCs/>
        </w:rPr>
        <w:t>several years</w:t>
      </w:r>
      <w:r>
        <w:t>, REALTORS® have faced extreme challenges in helping buyers</w:t>
      </w:r>
      <w:r w:rsidR="00874408">
        <w:t xml:space="preserve"> – </w:t>
      </w:r>
      <w:r>
        <w:t>particularly first-time buyers</w:t>
      </w:r>
      <w:r w:rsidR="00874408">
        <w:t xml:space="preserve"> – </w:t>
      </w:r>
      <w:r>
        <w:t>secure ownership opportunities such as condominiums and single-family homes.</w:t>
      </w:r>
    </w:p>
    <w:p w14:paraId="26E0D261" w14:textId="77777777" w:rsidR="00001ECE" w:rsidRDefault="00001ECE" w:rsidP="00001ECE"/>
    <w:p w14:paraId="45440D92" w14:textId="77777777" w:rsidR="00001ECE" w:rsidRDefault="00001ECE" w:rsidP="00001ECE">
      <w:r>
        <w:t>There is a significant long-term risk if additional supply is not created, especially in the form of single-family and condominium units. Thousands of potential homeowners will be pushed into rental housing, limiting their ability to save for down payments and forcing them to miss out on building wealth through home equity and the broader benefits of homeownership.</w:t>
      </w:r>
    </w:p>
    <w:p w14:paraId="329FFCD2" w14:textId="77777777" w:rsidR="00001ECE" w:rsidRDefault="00001ECE" w:rsidP="00001ECE"/>
    <w:p w14:paraId="552448E6" w14:textId="5EC97586" w:rsidR="003244DA" w:rsidRDefault="00001ECE" w:rsidP="00001ECE">
      <w:r>
        <w:t>Over time, this will create serious downstream consequences. Families may lack sufficient home equity to help pay for college, invest in home improvements, or cover unexpected emergencies later in life</w:t>
      </w:r>
      <w:r w:rsidR="003244DA">
        <w:t xml:space="preserve">. </w:t>
      </w:r>
    </w:p>
    <w:p w14:paraId="61210D9C" w14:textId="77777777" w:rsidR="00451758" w:rsidRDefault="00451758">
      <w:pPr>
        <w:spacing w:after="160" w:line="259" w:lineRule="auto"/>
        <w:contextualSpacing w:val="0"/>
      </w:pPr>
    </w:p>
    <w:p w14:paraId="6C6A5D4A" w14:textId="77777777" w:rsidR="003244DA" w:rsidRPr="00985B7F" w:rsidRDefault="003244DA" w:rsidP="003244DA">
      <w:pPr>
        <w:pStyle w:val="ParagraphIntro"/>
      </w:pPr>
      <w:r w:rsidRPr="00985B7F">
        <w:t>Where to go</w:t>
      </w:r>
    </w:p>
    <w:p w14:paraId="4789C15D" w14:textId="77777777" w:rsidR="003244DA" w:rsidRPr="00627017" w:rsidRDefault="003244DA" w:rsidP="003244DA">
      <w:r w:rsidRPr="00627017">
        <w:t>Buyers should seek the counsel of a REALTOR</w:t>
      </w:r>
      <w:r w:rsidRPr="00DC07EE">
        <w:rPr>
          <w:vertAlign w:val="superscript"/>
        </w:rPr>
        <w:t>®</w:t>
      </w:r>
      <w:r w:rsidRPr="00627017">
        <w:t xml:space="preserve"> in determining their best housing options, and sellers need a REALTORS</w:t>
      </w:r>
      <w:r w:rsidRPr="00DC07EE">
        <w:rPr>
          <w:vertAlign w:val="superscript"/>
        </w:rPr>
        <w:t>®</w:t>
      </w:r>
      <w:r w:rsidRPr="00627017">
        <w:t xml:space="preserve"> expert advice in making correct marketing decisions </w:t>
      </w:r>
      <w:r>
        <w:t>for</w:t>
      </w:r>
      <w:r w:rsidRPr="00627017">
        <w:t xml:space="preserve"> their home.</w:t>
      </w:r>
    </w:p>
    <w:p w14:paraId="0ACBF2C4" w14:textId="77777777" w:rsidR="003244DA" w:rsidRPr="00627017" w:rsidRDefault="003244DA" w:rsidP="003244DA"/>
    <w:p w14:paraId="4D2D04D8" w14:textId="3BB29545" w:rsidR="003244DA" w:rsidRDefault="003244DA" w:rsidP="003244DA">
      <w:r w:rsidRPr="00627017">
        <w:t>The Greater Milwaukee Association of REALTORS</w:t>
      </w:r>
      <w:r w:rsidRPr="00627017">
        <w:rPr>
          <w:vertAlign w:val="superscript"/>
        </w:rPr>
        <w:t>®</w:t>
      </w:r>
      <w:r w:rsidRPr="00627017">
        <w:t xml:space="preserve"> is a 5,</w:t>
      </w:r>
      <w:r>
        <w:t>5</w:t>
      </w:r>
      <w:r w:rsidRPr="00627017">
        <w:t>00-member strong professional organization dedicated to providing information, services, and products to help REALTORS</w:t>
      </w:r>
      <w:r w:rsidRPr="00627017">
        <w:rPr>
          <w:vertAlign w:val="superscript"/>
        </w:rPr>
        <w:t>®</w:t>
      </w:r>
      <w:r w:rsidRPr="00627017">
        <w:t xml:space="preserve"> help their clients buy and sell real estate. Data for this report was collected by Metro MLS, Inc.</w:t>
      </w:r>
      <w:r w:rsidR="00EC6CB8">
        <w:t>,</w:t>
      </w:r>
      <w:r w:rsidRPr="00627017">
        <w:t xml:space="preserve"> a wholly owned subsidiary of GMAR.</w:t>
      </w:r>
      <w:r>
        <w:t xml:space="preserve"> </w:t>
      </w:r>
    </w:p>
    <w:p w14:paraId="531FC2C9" w14:textId="77777777" w:rsidR="003244DA" w:rsidRPr="00627017" w:rsidRDefault="003244DA" w:rsidP="003244DA"/>
    <w:p w14:paraId="04807D94" w14:textId="77777777" w:rsidR="003244DA" w:rsidRPr="00627017" w:rsidRDefault="003244DA" w:rsidP="003244DA">
      <w:pPr>
        <w:pStyle w:val="Noted"/>
      </w:pPr>
      <w:r w:rsidRPr="00627017">
        <w:t>* Sales and Listing figures differ between the “Monthly Stats” and quarter or year-end numbers, because the collection of Monthly Stats ends on the 10</w:t>
      </w:r>
      <w:r w:rsidRPr="00627017">
        <w:rPr>
          <w:vertAlign w:val="superscript"/>
        </w:rPr>
        <w:t>th</w:t>
      </w:r>
      <w:r w:rsidRPr="00627017">
        <w:t xml:space="preserve"> of each month, </w:t>
      </w:r>
      <w:r w:rsidRPr="00985B7F">
        <w:t>whereas quarters</w:t>
      </w:r>
      <w:r w:rsidRPr="00627017">
        <w:t xml:space="preserve"> are a continuous tally to 12/31. For example, if a sale occurred on </w:t>
      </w:r>
      <w:r>
        <w:t>the</w:t>
      </w:r>
      <w:r w:rsidRPr="00627017">
        <w:t xml:space="preserve"> 29</w:t>
      </w:r>
      <w:r w:rsidRPr="00627017">
        <w:rPr>
          <w:vertAlign w:val="superscript"/>
        </w:rPr>
        <w:t>th</w:t>
      </w:r>
      <w:r>
        <w:t xml:space="preserve"> of the month,</w:t>
      </w:r>
      <w:r w:rsidRPr="00627017">
        <w:t xml:space="preserve"> but an agent does not record the sale until </w:t>
      </w:r>
      <w:r>
        <w:t xml:space="preserve">the </w:t>
      </w:r>
      <w:r w:rsidRPr="00627017">
        <w:t>5</w:t>
      </w:r>
      <w:r w:rsidRPr="00627017">
        <w:rPr>
          <w:vertAlign w:val="superscript"/>
        </w:rPr>
        <w:t>th</w:t>
      </w:r>
      <w:r>
        <w:t xml:space="preserve"> of the next month,</w:t>
      </w:r>
      <w:r w:rsidRPr="00627017">
        <w:t xml:space="preserve"> that sale would not be included in the sales figures</w:t>
      </w:r>
      <w:r>
        <w:t xml:space="preserve"> of the reported month</w:t>
      </w:r>
      <w:r w:rsidRPr="00627017">
        <w:t xml:space="preserve"> (or any subsequent month’s total) but would be added to the quarterly and annual total sales figures. </w:t>
      </w:r>
    </w:p>
    <w:p w14:paraId="505E4119" w14:textId="77777777" w:rsidR="003244DA" w:rsidRPr="00627017" w:rsidRDefault="003244DA" w:rsidP="003244DA">
      <w:pPr>
        <w:rPr>
          <w:sz w:val="20"/>
          <w:szCs w:val="20"/>
        </w:rPr>
      </w:pPr>
    </w:p>
    <w:p w14:paraId="4AF44DF9" w14:textId="77777777" w:rsidR="003244DA" w:rsidRPr="00627017" w:rsidRDefault="003244DA" w:rsidP="003244DA">
      <w:pPr>
        <w:pStyle w:val="Noted"/>
      </w:pPr>
      <w:r w:rsidRPr="00627017">
        <w:t xml:space="preserve">** All references to the “metropolitan” area denotes the </w:t>
      </w:r>
      <w:r>
        <w:t>four</w:t>
      </w:r>
      <w:r w:rsidRPr="00627017">
        <w:t xml:space="preserve"> counties of Milwaukee, Waukesha, Ozaukee, and Washington Counties. The “region” or “Southeast Wisconsin” refers to the </w:t>
      </w:r>
      <w:r>
        <w:t>four</w:t>
      </w:r>
      <w:r w:rsidRPr="00627017">
        <w:t xml:space="preserve"> metropolitan counties (Milwaukee, Waukesha, Ozaukee, and Washington), plus Racine, Kenosha, and Walworth Counties</w:t>
      </w:r>
      <w:r>
        <w:t>, t</w:t>
      </w:r>
      <w:r w:rsidRPr="00627017">
        <w:t>o the south.</w:t>
      </w:r>
    </w:p>
    <w:p w14:paraId="196026E5" w14:textId="77777777" w:rsidR="003244DA" w:rsidRPr="00627017" w:rsidRDefault="003244DA" w:rsidP="003244DA">
      <w:pPr>
        <w:spacing w:before="120" w:after="120"/>
        <w:ind w:left="-360" w:right="-360"/>
        <w:rPr>
          <w:rFonts w:ascii="Arial" w:hAnsi="Arial" w:cs="Arial"/>
          <w:sz w:val="24"/>
          <w:szCs w:val="24"/>
        </w:rPr>
      </w:pPr>
    </w:p>
    <w:p w14:paraId="18C0E614" w14:textId="77777777" w:rsidR="003244DA" w:rsidRPr="00627017" w:rsidRDefault="003244DA" w:rsidP="003244DA">
      <w:pPr>
        <w:spacing w:before="120" w:after="120"/>
        <w:ind w:left="-360" w:right="-360"/>
        <w:jc w:val="center"/>
        <w:rPr>
          <w:rFonts w:ascii="Arial" w:hAnsi="Arial" w:cs="Arial"/>
          <w:sz w:val="28"/>
          <w:szCs w:val="28"/>
        </w:rPr>
      </w:pPr>
      <w:r w:rsidRPr="00627017">
        <w:rPr>
          <w:rFonts w:ascii="Arial" w:hAnsi="Arial" w:cs="Arial"/>
          <w:b/>
          <w:bCs/>
          <w:sz w:val="28"/>
          <w:szCs w:val="28"/>
        </w:rPr>
        <w:t>*     *     *     *     *</w:t>
      </w:r>
    </w:p>
    <w:p w14:paraId="04B449FD" w14:textId="76A7201E" w:rsidR="002920FB" w:rsidRDefault="002920FB">
      <w:pPr>
        <w:spacing w:after="160" w:line="259" w:lineRule="auto"/>
        <w:contextualSpacing w:val="0"/>
        <w:rPr>
          <w:rFonts w:ascii="Arial" w:hAnsi="Arial" w:cs="Arial"/>
          <w:sz w:val="28"/>
          <w:szCs w:val="28"/>
        </w:rPr>
      </w:pPr>
      <w:r>
        <w:rPr>
          <w:rFonts w:ascii="Arial" w:hAnsi="Arial" w:cs="Arial"/>
          <w:sz w:val="28"/>
          <w:szCs w:val="28"/>
        </w:rPr>
        <w:br w:type="page"/>
      </w:r>
    </w:p>
    <w:p w14:paraId="57FA9B6E" w14:textId="64834754" w:rsidR="00722A43" w:rsidRDefault="00BB3FAF" w:rsidP="007C3470">
      <w:pPr>
        <w:spacing w:before="120" w:after="120" w:line="300" w:lineRule="auto"/>
        <w:ind w:left="-360" w:right="-360"/>
        <w:jc w:val="center"/>
        <w:rPr>
          <w:rFonts w:ascii="Arial" w:hAnsi="Arial" w:cs="Arial"/>
          <w:sz w:val="20"/>
          <w:szCs w:val="20"/>
        </w:rPr>
      </w:pPr>
      <w:r>
        <w:rPr>
          <w:noProof/>
        </w:rPr>
        <w:lastRenderedPageBreak/>
        <w:drawing>
          <wp:anchor distT="0" distB="0" distL="114300" distR="114300" simplePos="0" relativeHeight="251671552" behindDoc="0" locked="0" layoutInCell="1" allowOverlap="1" wp14:anchorId="1B545608" wp14:editId="05404346">
            <wp:simplePos x="1063812" y="573741"/>
            <wp:positionH relativeFrom="margin">
              <wp:align>center</wp:align>
            </wp:positionH>
            <wp:positionV relativeFrom="margin">
              <wp:align>top</wp:align>
            </wp:positionV>
            <wp:extent cx="5645432" cy="3269685"/>
            <wp:effectExtent l="0" t="0" r="0" b="6985"/>
            <wp:wrapSquare wrapText="bothSides"/>
            <wp:docPr id="1057609743"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110124F7" w14:textId="3F6A322B" w:rsidR="00FE2AA3" w:rsidRDefault="00752249" w:rsidP="004E6698">
      <w:pPr>
        <w:spacing w:after="120" w:line="300" w:lineRule="auto"/>
      </w:pPr>
      <w:r w:rsidRPr="00E65D35">
        <w:t xml:space="preserve">Seasonally </w:t>
      </w:r>
      <w:r w:rsidR="0060287B" w:rsidRPr="00E65D35">
        <w:t xml:space="preserve">adjusted </w:t>
      </w:r>
      <w:r w:rsidR="0060287B" w:rsidRPr="00330618">
        <w:t>i</w:t>
      </w:r>
      <w:r w:rsidR="0060287B" w:rsidRPr="00330618">
        <w:rPr>
          <w:rStyle w:val="NormalCalloutText"/>
          <w:b w:val="0"/>
          <w:bCs w:val="0"/>
        </w:rPr>
        <w:t>nventory</w:t>
      </w:r>
      <w:r w:rsidR="0060287B" w:rsidRPr="00E65D35">
        <w:t xml:space="preserve"> tells us how many months it would take to sell the existing</w:t>
      </w:r>
      <w:r w:rsidR="0060287B" w:rsidRPr="00D010BD">
        <w:t xml:space="preserve"> homes on the market</w:t>
      </w:r>
      <w:r w:rsidR="00F67F9D" w:rsidRPr="00D010BD">
        <w:t>.</w:t>
      </w:r>
      <w:r w:rsidR="00435320" w:rsidRPr="00D010BD">
        <w:t xml:space="preserve"> </w:t>
      </w:r>
      <w:r w:rsidR="0060287B" w:rsidRPr="00D010BD">
        <w:t xml:space="preserve">The seasonally adjusted </w:t>
      </w:r>
      <w:r w:rsidR="0060287B" w:rsidRPr="00F84C72">
        <w:rPr>
          <w:rStyle w:val="NormalCalloutText"/>
        </w:rPr>
        <w:t xml:space="preserve">inventory level for </w:t>
      </w:r>
      <w:r w:rsidR="00133D00">
        <w:rPr>
          <w:rStyle w:val="NormalCalloutText"/>
        </w:rPr>
        <w:t>December</w:t>
      </w:r>
      <w:r w:rsidR="0060287B" w:rsidRPr="00F84C72">
        <w:rPr>
          <w:rStyle w:val="NormalCalloutText"/>
        </w:rPr>
        <w:t xml:space="preserve"> was </w:t>
      </w:r>
      <w:r w:rsidR="00330618">
        <w:rPr>
          <w:rStyle w:val="NormalCalloutText"/>
        </w:rPr>
        <w:t>2</w:t>
      </w:r>
      <w:r w:rsidR="002920FB">
        <w:rPr>
          <w:rStyle w:val="NormalCalloutText"/>
        </w:rPr>
        <w:t>.</w:t>
      </w:r>
      <w:r w:rsidR="00330618">
        <w:rPr>
          <w:rStyle w:val="NormalCalloutText"/>
        </w:rPr>
        <w:t>3</w:t>
      </w:r>
      <w:r w:rsidR="0060287B" w:rsidRPr="00F84C72">
        <w:rPr>
          <w:rStyle w:val="NormalCalloutText"/>
        </w:rPr>
        <w:t xml:space="preserve"> month</w:t>
      </w:r>
      <w:r w:rsidR="00BD2F20">
        <w:rPr>
          <w:rStyle w:val="NormalCalloutText"/>
        </w:rPr>
        <w:t>s</w:t>
      </w:r>
      <w:r w:rsidR="0080655E" w:rsidRPr="00F84C72">
        <w:rPr>
          <w:rStyle w:val="NormalCalloutText"/>
        </w:rPr>
        <w:t>.</w:t>
      </w:r>
      <w:r w:rsidR="004E6698">
        <w:rPr>
          <w:rStyle w:val="NormalCalloutText"/>
          <w:b w:val="0"/>
          <w:bCs w:val="0"/>
        </w:rPr>
        <w:t xml:space="preserve"> S</w:t>
      </w:r>
      <w:r w:rsidR="00FE2AA3" w:rsidRPr="00D010BD">
        <w:t>ubtract</w:t>
      </w:r>
      <w:r w:rsidR="00395028">
        <w:t>ing</w:t>
      </w:r>
      <w:r w:rsidR="00FE2AA3" w:rsidRPr="00D010BD">
        <w:t xml:space="preserve"> listings that have an “active offer” from those available for sale (about 80% of listings with an offer </w:t>
      </w:r>
      <w:r w:rsidR="004E6698">
        <w:t>sell</w:t>
      </w:r>
      <w:r w:rsidR="00FE2AA3" w:rsidRPr="00D010BD">
        <w:t>)</w:t>
      </w:r>
      <w:r w:rsidR="007562FC">
        <w:t xml:space="preserve"> </w:t>
      </w:r>
      <w:r w:rsidR="00FE2AA3" w:rsidRPr="00D010BD">
        <w:t xml:space="preserve">yields </w:t>
      </w:r>
      <w:r w:rsidR="00330618">
        <w:rPr>
          <w:b/>
          <w:bCs/>
          <w:color w:val="203058"/>
        </w:rPr>
        <w:t>2</w:t>
      </w:r>
      <w:r w:rsidR="00160B50">
        <w:rPr>
          <w:b/>
          <w:bCs/>
          <w:color w:val="203058"/>
        </w:rPr>
        <w:t>,</w:t>
      </w:r>
      <w:r w:rsidR="00330618">
        <w:rPr>
          <w:b/>
          <w:bCs/>
          <w:color w:val="203058"/>
        </w:rPr>
        <w:t>534</w:t>
      </w:r>
      <w:r w:rsidR="00FE2AA3" w:rsidRPr="00F84C72">
        <w:rPr>
          <w:rStyle w:val="NormalCalloutText"/>
        </w:rPr>
        <w:t xml:space="preserve"> listings, which equals </w:t>
      </w:r>
      <w:r w:rsidR="00082AAF">
        <w:rPr>
          <w:rStyle w:val="NormalCalloutText"/>
        </w:rPr>
        <w:t>1</w:t>
      </w:r>
      <w:r w:rsidR="00E31F8C">
        <w:rPr>
          <w:rStyle w:val="NormalCalloutText"/>
        </w:rPr>
        <w:t>.</w:t>
      </w:r>
      <w:r w:rsidR="00330618">
        <w:rPr>
          <w:rStyle w:val="NormalCalloutText"/>
        </w:rPr>
        <w:t>2</w:t>
      </w:r>
      <w:r w:rsidR="00FE2AA3" w:rsidRPr="00F84C72">
        <w:rPr>
          <w:rStyle w:val="NormalCalloutText"/>
        </w:rPr>
        <w:t xml:space="preserve"> month</w:t>
      </w:r>
      <w:r w:rsidR="00C960B7">
        <w:rPr>
          <w:rStyle w:val="NormalCalloutText"/>
        </w:rPr>
        <w:t>s</w:t>
      </w:r>
      <w:r w:rsidR="00FE2AA3" w:rsidRPr="00F84C72">
        <w:rPr>
          <w:rStyle w:val="NormalCalloutText"/>
        </w:rPr>
        <w:t xml:space="preserve"> of inventory.</w:t>
      </w:r>
      <w:r w:rsidR="00E31F8C">
        <w:rPr>
          <w:rStyle w:val="NormalCalloutText"/>
        </w:rPr>
        <w:t xml:space="preserve"> </w:t>
      </w:r>
    </w:p>
    <w:p w14:paraId="1A667C1A" w14:textId="77777777" w:rsidR="009E2F8C" w:rsidRDefault="009E2F8C" w:rsidP="00716F12">
      <w:pPr>
        <w:spacing w:before="120" w:after="120"/>
        <w:jc w:val="center"/>
      </w:pPr>
    </w:p>
    <w:p w14:paraId="53C91D88" w14:textId="0E6CAD67" w:rsidR="00FE2AA3" w:rsidRDefault="00BB3FAF" w:rsidP="00BB3FAF">
      <w:pPr>
        <w:spacing w:before="120" w:after="120"/>
        <w:jc w:val="center"/>
      </w:pPr>
      <w:r>
        <w:rPr>
          <w:noProof/>
        </w:rPr>
        <w:drawing>
          <wp:inline distT="0" distB="0" distL="0" distR="0" wp14:anchorId="7A44EEDA" wp14:editId="68CDC258">
            <wp:extent cx="5605074" cy="3040098"/>
            <wp:effectExtent l="0" t="0" r="0" b="8255"/>
            <wp:docPr id="196187355" name="Chart 1">
              <a:extLst xmlns:a="http://schemas.openxmlformats.org/drawingml/2006/main">
                <a:ext uri="{FF2B5EF4-FFF2-40B4-BE49-F238E27FC236}">
                  <a16:creationId xmlns:a16="http://schemas.microsoft.com/office/drawing/2014/main" id="{4220DDEC-9644-40DF-9232-FA955E14F2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A09699B" w14:textId="77777777" w:rsidR="0087289E" w:rsidRDefault="0087289E" w:rsidP="00716F12">
      <w:pPr>
        <w:spacing w:before="120" w:after="120" w:line="300" w:lineRule="auto"/>
      </w:pPr>
    </w:p>
    <w:p w14:paraId="386B214D" w14:textId="4484426B" w:rsidR="00F84C72" w:rsidRPr="0087289E" w:rsidRDefault="004E6698" w:rsidP="00716F12">
      <w:pPr>
        <w:spacing w:before="120" w:after="120" w:line="300" w:lineRule="auto"/>
        <w:rPr>
          <w:rFonts w:ascii="Arial" w:hAnsi="Arial" w:cs="Arial"/>
          <w:sz w:val="20"/>
          <w:szCs w:val="20"/>
        </w:rPr>
      </w:pPr>
      <w:r w:rsidRPr="00E65D35">
        <w:t xml:space="preserve">With </w:t>
      </w:r>
      <w:r w:rsidR="00330618">
        <w:t>3</w:t>
      </w:r>
      <w:r w:rsidR="00C960B7">
        <w:t>,</w:t>
      </w:r>
      <w:r w:rsidR="00330618">
        <w:t>30</w:t>
      </w:r>
      <w:r w:rsidR="00C960B7">
        <w:t>3</w:t>
      </w:r>
      <w:r w:rsidRPr="00E65D35">
        <w:t xml:space="preserve"> current listings providing </w:t>
      </w:r>
      <w:r w:rsidR="00C960B7">
        <w:t>2</w:t>
      </w:r>
      <w:r w:rsidR="00330618">
        <w:t>.3</w:t>
      </w:r>
      <w:r w:rsidRPr="00E65D35">
        <w:t xml:space="preserve"> months of inventory, </w:t>
      </w:r>
      <w:r w:rsidRPr="00E65D35">
        <w:rPr>
          <w:rStyle w:val="NormalCalloutText"/>
        </w:rPr>
        <w:t>the market would need an</w:t>
      </w:r>
      <w:r w:rsidRPr="00F84C72">
        <w:rPr>
          <w:rStyle w:val="NormalCalloutText"/>
        </w:rPr>
        <w:t xml:space="preserve"> additional </w:t>
      </w:r>
      <w:r w:rsidR="00330618">
        <w:rPr>
          <w:rStyle w:val="NormalCalloutText"/>
        </w:rPr>
        <w:t>5</w:t>
      </w:r>
      <w:r w:rsidRPr="00F84C72">
        <w:rPr>
          <w:rStyle w:val="NormalCalloutText"/>
        </w:rPr>
        <w:t>,</w:t>
      </w:r>
      <w:r w:rsidR="00C960B7">
        <w:rPr>
          <w:rStyle w:val="NormalCalloutText"/>
        </w:rPr>
        <w:t>1</w:t>
      </w:r>
      <w:r w:rsidR="00330618">
        <w:rPr>
          <w:rStyle w:val="NormalCalloutText"/>
        </w:rPr>
        <w:t>5</w:t>
      </w:r>
      <w:r w:rsidR="00BE4F46">
        <w:rPr>
          <w:rStyle w:val="NormalCalloutText"/>
        </w:rPr>
        <w:t>0</w:t>
      </w:r>
      <w:r w:rsidRPr="00F84C72">
        <w:rPr>
          <w:rStyle w:val="NormalCalloutText"/>
        </w:rPr>
        <w:t xml:space="preserve"> units to push inventory to </w:t>
      </w:r>
      <w:r w:rsidR="006B0D8F">
        <w:rPr>
          <w:rStyle w:val="NormalCalloutText"/>
        </w:rPr>
        <w:t>six</w:t>
      </w:r>
      <w:r w:rsidRPr="00F84C72">
        <w:rPr>
          <w:rStyle w:val="NormalCalloutText"/>
        </w:rPr>
        <w:t xml:space="preserve"> months.</w:t>
      </w:r>
      <w:r w:rsidRPr="00722A43">
        <w:rPr>
          <w:rFonts w:ascii="Arial" w:hAnsi="Arial" w:cs="Arial"/>
          <w:sz w:val="20"/>
          <w:szCs w:val="20"/>
        </w:rPr>
        <w:t xml:space="preserve"> </w:t>
      </w:r>
      <w:r w:rsidR="00890BA1" w:rsidRPr="0087289E">
        <w:rPr>
          <w:rStyle w:val="NormalCalloutText"/>
          <w:b w:val="0"/>
          <w:bCs w:val="0"/>
          <w:color w:val="auto"/>
        </w:rPr>
        <w:t>Six</w:t>
      </w:r>
      <w:r w:rsidR="00F67F9D" w:rsidRPr="0087289E">
        <w:rPr>
          <w:rStyle w:val="NormalCalloutText"/>
          <w:b w:val="0"/>
          <w:bCs w:val="0"/>
          <w:color w:val="auto"/>
        </w:rPr>
        <w:t xml:space="preserve"> months of inventory is considered a “balanced” market.</w:t>
      </w:r>
      <w:r w:rsidR="00F67F9D" w:rsidRPr="0087289E">
        <w:t xml:space="preserve"> If inventory falls below six months, the market favors sellers, and when inventory exceeds six months, it is a buyer’s market</w:t>
      </w:r>
      <w:r w:rsidR="00EC22D0" w:rsidRPr="0087289E">
        <w:t>.</w:t>
      </w:r>
      <w:r w:rsidR="00FC6C1A" w:rsidRPr="0087289E">
        <w:t xml:space="preserve"> </w:t>
      </w:r>
      <w:bookmarkEnd w:id="0"/>
    </w:p>
    <w:p w14:paraId="6CBF03B4" w14:textId="18F53068" w:rsidR="002920FB" w:rsidRDefault="002920FB">
      <w:pPr>
        <w:spacing w:after="160" w:line="259" w:lineRule="auto"/>
        <w:contextualSpacing w:val="0"/>
        <w:rPr>
          <w:rFonts w:ascii="Arial" w:hAnsi="Arial" w:cs="Arial"/>
          <w:sz w:val="20"/>
          <w:szCs w:val="20"/>
        </w:rPr>
      </w:pPr>
      <w:r>
        <w:rPr>
          <w:rFonts w:ascii="Arial" w:hAnsi="Arial" w:cs="Arial"/>
          <w:sz w:val="20"/>
          <w:szCs w:val="20"/>
        </w:rPr>
        <w:br w:type="page"/>
      </w:r>
    </w:p>
    <w:p w14:paraId="50B00382" w14:textId="329ED7CF" w:rsidR="00B92DC4" w:rsidRDefault="00B92DC4" w:rsidP="00B92DC4">
      <w:pPr>
        <w:spacing w:after="160" w:line="259" w:lineRule="auto"/>
        <w:contextualSpacing w:val="0"/>
        <w:jc w:val="center"/>
        <w:rPr>
          <w:rFonts w:ascii="Arial" w:hAnsi="Arial" w:cs="Arial"/>
          <w:sz w:val="20"/>
          <w:szCs w:val="20"/>
        </w:rPr>
      </w:pPr>
      <w:r>
        <w:rPr>
          <w:noProof/>
        </w:rPr>
        <w:lastRenderedPageBreak/>
        <w:drawing>
          <wp:anchor distT="0" distB="0" distL="114300" distR="114300" simplePos="0" relativeHeight="251668480" behindDoc="0" locked="0" layoutInCell="1" allowOverlap="1" wp14:anchorId="5EEDC196" wp14:editId="2893D80D">
            <wp:simplePos x="0" y="0"/>
            <wp:positionH relativeFrom="column">
              <wp:posOffset>-178435</wp:posOffset>
            </wp:positionH>
            <wp:positionV relativeFrom="paragraph">
              <wp:posOffset>4495165</wp:posOffset>
            </wp:positionV>
            <wp:extent cx="6400800" cy="4114800"/>
            <wp:effectExtent l="0" t="0" r="0" b="0"/>
            <wp:wrapSquare wrapText="bothSides"/>
            <wp:docPr id="614309893" name="Chart 1">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noProof/>
        </w:rPr>
        <w:drawing>
          <wp:anchor distT="0" distB="0" distL="114300" distR="114300" simplePos="0" relativeHeight="251669504" behindDoc="0" locked="0" layoutInCell="1" allowOverlap="1" wp14:anchorId="045BD2F0" wp14:editId="2A864EFC">
            <wp:simplePos x="0" y="0"/>
            <wp:positionH relativeFrom="margin">
              <wp:align>center</wp:align>
            </wp:positionH>
            <wp:positionV relativeFrom="margin">
              <wp:align>top</wp:align>
            </wp:positionV>
            <wp:extent cx="6400800" cy="4114800"/>
            <wp:effectExtent l="0" t="0" r="0" b="0"/>
            <wp:wrapSquare wrapText="bothSides"/>
            <wp:docPr id="980961493" name="Chart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36791AF9" w14:textId="710D9F22" w:rsidR="00E802E8" w:rsidRDefault="00E802E8">
      <w:pPr>
        <w:spacing w:after="160" w:line="259" w:lineRule="auto"/>
        <w:contextualSpacing w:val="0"/>
        <w:rPr>
          <w:rFonts w:ascii="Arial" w:hAnsi="Arial" w:cs="Arial"/>
          <w:sz w:val="20"/>
          <w:szCs w:val="20"/>
        </w:rPr>
      </w:pPr>
      <w:r>
        <w:rPr>
          <w:rFonts w:ascii="Arial" w:hAnsi="Arial" w:cs="Arial"/>
          <w:sz w:val="20"/>
          <w:szCs w:val="20"/>
        </w:rPr>
        <w:br w:type="page"/>
      </w:r>
    </w:p>
    <w:p w14:paraId="2C9D7F78" w14:textId="2C63D84A" w:rsidR="004F2090" w:rsidRDefault="00BB3FAF">
      <w:pPr>
        <w:spacing w:after="160" w:line="259" w:lineRule="auto"/>
        <w:contextualSpacing w:val="0"/>
        <w:rPr>
          <w:rFonts w:ascii="Arial" w:hAnsi="Arial" w:cs="Arial"/>
          <w:sz w:val="20"/>
          <w:szCs w:val="20"/>
        </w:rPr>
      </w:pPr>
      <w:r>
        <w:rPr>
          <w:noProof/>
        </w:rPr>
        <w:lastRenderedPageBreak/>
        <w:drawing>
          <wp:anchor distT="0" distB="0" distL="114300" distR="114300" simplePos="0" relativeHeight="251672576" behindDoc="0" locked="0" layoutInCell="1" allowOverlap="1" wp14:anchorId="0D6D4B0E" wp14:editId="7B4F6F35">
            <wp:simplePos x="914400" y="573741"/>
            <wp:positionH relativeFrom="margin">
              <wp:align>center</wp:align>
            </wp:positionH>
            <wp:positionV relativeFrom="margin">
              <wp:align>top</wp:align>
            </wp:positionV>
            <wp:extent cx="6400800" cy="4114800"/>
            <wp:effectExtent l="0" t="0" r="0" b="0"/>
            <wp:wrapSquare wrapText="bothSides"/>
            <wp:docPr id="235319758" name="Chart 1">
              <a:extLst xmlns:a="http://schemas.openxmlformats.org/drawingml/2006/main">
                <a:ext uri="{FF2B5EF4-FFF2-40B4-BE49-F238E27FC236}">
                  <a16:creationId xmlns:a16="http://schemas.microsoft.com/office/drawing/2014/main" id="{00000000-0008-0000-08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1D6F4749" w14:textId="03F1D7E8" w:rsidR="00D848BE" w:rsidRPr="00082AAF" w:rsidRDefault="00D848BE">
      <w:pPr>
        <w:spacing w:after="160" w:line="259" w:lineRule="auto"/>
        <w:contextualSpacing w:val="0"/>
        <w:rPr>
          <w:rFonts w:ascii="Arial" w:hAnsi="Arial" w:cs="Arial"/>
          <w:sz w:val="20"/>
          <w:szCs w:val="20"/>
        </w:rPr>
      </w:pPr>
    </w:p>
    <w:sectPr w:rsidR="00D848BE" w:rsidRPr="00082AAF" w:rsidSect="00451758">
      <w:headerReference w:type="even" r:id="rId15"/>
      <w:headerReference w:type="default" r:id="rId16"/>
      <w:footerReference w:type="even" r:id="rId17"/>
      <w:footerReference w:type="default" r:id="rId18"/>
      <w:headerReference w:type="first" r:id="rId19"/>
      <w:footerReference w:type="first" r:id="rId20"/>
      <w:pgSz w:w="12240" w:h="15840"/>
      <w:pgMar w:top="907" w:right="1440" w:bottom="1080" w:left="1440" w:header="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3797A" w14:textId="77777777" w:rsidR="00FB26C9" w:rsidRDefault="00FB26C9" w:rsidP="003B327A">
      <w:r>
        <w:separator/>
      </w:r>
    </w:p>
  </w:endnote>
  <w:endnote w:type="continuationSeparator" w:id="0">
    <w:p w14:paraId="3F6092DC" w14:textId="77777777" w:rsidR="00FB26C9" w:rsidRDefault="00FB26C9" w:rsidP="003B3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3300129"/>
      <w:docPartObj>
        <w:docPartGallery w:val="Page Numbers (Bottom of Page)"/>
        <w:docPartUnique/>
      </w:docPartObj>
    </w:sdtPr>
    <w:sdtEndPr>
      <w:rPr>
        <w:rStyle w:val="PageNumber"/>
      </w:rPr>
    </w:sdtEndPr>
    <w:sdtContent>
      <w:p w14:paraId="1FE5BE95" w14:textId="156FFAE5" w:rsidR="00D4300F" w:rsidRDefault="00D4300F">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528403830"/>
      <w:docPartObj>
        <w:docPartGallery w:val="Page Numbers (Bottom of Page)"/>
        <w:docPartUnique/>
      </w:docPartObj>
    </w:sdtPr>
    <w:sdtEndPr>
      <w:rPr>
        <w:rStyle w:val="PageNumber"/>
      </w:rPr>
    </w:sdtEndPr>
    <w:sdtContent>
      <w:p w14:paraId="2349D0BD" w14:textId="78AE5157" w:rsidR="0010266B" w:rsidRDefault="0010266B" w:rsidP="00D4300F">
        <w:pPr>
          <w:pStyle w:val="Footer"/>
          <w:framePr w:wrap="none" w:vAnchor="text" w:hAnchor="margin" w:xAlign="center" w:y="1"/>
          <w:ind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928B85" w14:textId="77777777" w:rsidR="0010266B" w:rsidRDefault="001026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entury Gothic" w:hAnsi="Century Gothic"/>
        <w:b/>
        <w:bCs/>
        <w:sz w:val="16"/>
        <w:szCs w:val="16"/>
      </w:rPr>
      <w:id w:val="1011573456"/>
      <w:docPartObj>
        <w:docPartGallery w:val="Page Numbers (Bottom of Page)"/>
        <w:docPartUnique/>
      </w:docPartObj>
    </w:sdtPr>
    <w:sdtEndPr>
      <w:rPr>
        <w:rStyle w:val="PageNumber"/>
      </w:rPr>
    </w:sdtEndPr>
    <w:sdtContent>
      <w:p w14:paraId="64CFEC4F" w14:textId="43E8E004" w:rsidR="0010266B" w:rsidRPr="0010266B" w:rsidRDefault="0010266B" w:rsidP="00D4300F">
        <w:pPr>
          <w:pStyle w:val="Footer"/>
          <w:framePr w:wrap="none" w:vAnchor="text" w:hAnchor="margin" w:y="1"/>
          <w:rPr>
            <w:rStyle w:val="PageNumber"/>
            <w:rFonts w:ascii="Century Gothic" w:hAnsi="Century Gothic"/>
            <w:b/>
            <w:bCs/>
            <w:sz w:val="16"/>
            <w:szCs w:val="16"/>
          </w:rPr>
        </w:pPr>
        <w:r w:rsidRPr="0010266B">
          <w:rPr>
            <w:rStyle w:val="PageNumber"/>
            <w:rFonts w:ascii="Century Gothic" w:hAnsi="Century Gothic"/>
            <w:b/>
            <w:bCs/>
            <w:sz w:val="16"/>
            <w:szCs w:val="16"/>
          </w:rPr>
          <w:fldChar w:fldCharType="begin"/>
        </w:r>
        <w:r w:rsidRPr="0010266B">
          <w:rPr>
            <w:rStyle w:val="PageNumber"/>
            <w:rFonts w:ascii="Century Gothic" w:hAnsi="Century Gothic"/>
            <w:b/>
            <w:bCs/>
            <w:sz w:val="16"/>
            <w:szCs w:val="16"/>
          </w:rPr>
          <w:instrText xml:space="preserve"> PAGE </w:instrText>
        </w:r>
        <w:r w:rsidRPr="0010266B">
          <w:rPr>
            <w:rStyle w:val="PageNumber"/>
            <w:rFonts w:ascii="Century Gothic" w:hAnsi="Century Gothic"/>
            <w:b/>
            <w:bCs/>
            <w:sz w:val="16"/>
            <w:szCs w:val="16"/>
          </w:rPr>
          <w:fldChar w:fldCharType="separate"/>
        </w:r>
        <w:r w:rsidRPr="0010266B">
          <w:rPr>
            <w:rStyle w:val="PageNumber"/>
            <w:rFonts w:ascii="Century Gothic" w:hAnsi="Century Gothic"/>
            <w:b/>
            <w:bCs/>
            <w:noProof/>
            <w:sz w:val="16"/>
            <w:szCs w:val="16"/>
          </w:rPr>
          <w:t>2</w:t>
        </w:r>
        <w:r w:rsidRPr="0010266B">
          <w:rPr>
            <w:rStyle w:val="PageNumber"/>
            <w:rFonts w:ascii="Century Gothic" w:hAnsi="Century Gothic"/>
            <w:b/>
            <w:bCs/>
            <w:sz w:val="16"/>
            <w:szCs w:val="16"/>
          </w:rPr>
          <w:fldChar w:fldCharType="end"/>
        </w:r>
      </w:p>
    </w:sdtContent>
  </w:sdt>
  <w:p w14:paraId="0CE9DD8E" w14:textId="175DC8B5" w:rsidR="00086B75" w:rsidRDefault="0010266B" w:rsidP="00D4300F">
    <w:pPr>
      <w:pStyle w:val="Footer"/>
      <w:ind w:firstLine="360"/>
    </w:pPr>
    <w:r>
      <w:rPr>
        <w:noProof/>
      </w:rPr>
      <w:drawing>
        <wp:anchor distT="0" distB="0" distL="114300" distR="114300" simplePos="0" relativeHeight="251661312" behindDoc="1" locked="0" layoutInCell="1" allowOverlap="1" wp14:anchorId="03E99469" wp14:editId="2DE1E781">
          <wp:simplePos x="0" y="0"/>
          <wp:positionH relativeFrom="column">
            <wp:posOffset>4919345</wp:posOffset>
          </wp:positionH>
          <wp:positionV relativeFrom="paragraph">
            <wp:posOffset>-386080</wp:posOffset>
          </wp:positionV>
          <wp:extent cx="2057399" cy="714375"/>
          <wp:effectExtent l="0" t="0" r="635" b="0"/>
          <wp:wrapNone/>
          <wp:docPr id="19" name="Picture 19"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Graphical user interfac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57399" cy="71437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6AE1E" w14:textId="750CCCF4" w:rsidR="00DF7795" w:rsidRDefault="00DF7795">
    <w:pPr>
      <w:pStyle w:val="Footer"/>
    </w:pPr>
    <w:r>
      <w:rPr>
        <w:noProof/>
      </w:rPr>
      <w:drawing>
        <wp:anchor distT="0" distB="0" distL="114300" distR="114300" simplePos="0" relativeHeight="251657216" behindDoc="1" locked="0" layoutInCell="1" allowOverlap="1" wp14:anchorId="071F9804" wp14:editId="4F7160C1">
          <wp:simplePos x="0" y="0"/>
          <wp:positionH relativeFrom="margin">
            <wp:posOffset>-908050</wp:posOffset>
          </wp:positionH>
          <wp:positionV relativeFrom="paragraph">
            <wp:posOffset>248920</wp:posOffset>
          </wp:positionV>
          <wp:extent cx="7772400" cy="18268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extLst>
                      <a:ext uri="{28A0092B-C50C-407E-A947-70E740481C1C}">
                        <a14:useLocalDpi xmlns:a14="http://schemas.microsoft.com/office/drawing/2010/main" val="0"/>
                      </a:ext>
                    </a:extLst>
                  </a:blip>
                  <a:stretch>
                    <a:fillRect/>
                  </a:stretch>
                </pic:blipFill>
                <pic:spPr>
                  <a:xfrm>
                    <a:off x="0" y="0"/>
                    <a:ext cx="7772400" cy="1826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C59D7" w14:textId="77777777" w:rsidR="00FB26C9" w:rsidRDefault="00FB26C9" w:rsidP="003B327A">
      <w:r>
        <w:separator/>
      </w:r>
    </w:p>
  </w:footnote>
  <w:footnote w:type="continuationSeparator" w:id="0">
    <w:p w14:paraId="1606FE2C" w14:textId="77777777" w:rsidR="00FB26C9" w:rsidRDefault="00FB26C9" w:rsidP="003B3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1305925"/>
      <w:docPartObj>
        <w:docPartGallery w:val="Page Numbers (Top of Page)"/>
        <w:docPartUnique/>
      </w:docPartObj>
    </w:sdtPr>
    <w:sdtEndPr>
      <w:rPr>
        <w:rStyle w:val="PageNumber"/>
      </w:rPr>
    </w:sdtEndPr>
    <w:sdtContent>
      <w:p w14:paraId="5549F23B" w14:textId="67499029" w:rsidR="0010266B" w:rsidRDefault="0010266B">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A5422D">
          <w:rPr>
            <w:rStyle w:val="PageNumber"/>
            <w:noProof/>
          </w:rPr>
          <w:t>1</w:t>
        </w:r>
        <w:r>
          <w:rPr>
            <w:rStyle w:val="PageNumber"/>
          </w:rPr>
          <w:fldChar w:fldCharType="end"/>
        </w:r>
      </w:p>
    </w:sdtContent>
  </w:sdt>
  <w:p w14:paraId="7FBF11B6" w14:textId="77777777" w:rsidR="0010266B" w:rsidRDefault="001026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14D31" w14:textId="62F61BF2" w:rsidR="0010266B" w:rsidRDefault="0010266B">
    <w:pPr>
      <w:pStyle w:val="Header"/>
    </w:pPr>
    <w:r>
      <w:rPr>
        <w:noProof/>
      </w:rPr>
      <w:drawing>
        <wp:anchor distT="0" distB="0" distL="114300" distR="114300" simplePos="0" relativeHeight="251659264" behindDoc="1" locked="0" layoutInCell="1" allowOverlap="1" wp14:anchorId="169AFC6A" wp14:editId="62514721">
          <wp:simplePos x="0" y="0"/>
          <wp:positionH relativeFrom="column">
            <wp:posOffset>-901700</wp:posOffset>
          </wp:positionH>
          <wp:positionV relativeFrom="paragraph">
            <wp:posOffset>12700</wp:posOffset>
          </wp:positionV>
          <wp:extent cx="7772400" cy="18268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
                    <a:extLst>
                      <a:ext uri="{28A0092B-C50C-407E-A947-70E740481C1C}">
                        <a14:useLocalDpi xmlns:a14="http://schemas.microsoft.com/office/drawing/2010/main" val="0"/>
                      </a:ext>
                    </a:extLst>
                  </a:blip>
                  <a:stretch>
                    <a:fillRect/>
                  </a:stretch>
                </pic:blipFill>
                <pic:spPr>
                  <a:xfrm>
                    <a:off x="0" y="0"/>
                    <a:ext cx="7772400" cy="18268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30D34" w14:textId="6749F43D" w:rsidR="0087201F" w:rsidRPr="00DF7795" w:rsidRDefault="00DF7795" w:rsidP="00DF7795">
    <w:pPr>
      <w:pStyle w:val="Header"/>
    </w:pPr>
    <w:r>
      <w:rPr>
        <w:noProof/>
      </w:rPr>
      <w:drawing>
        <wp:anchor distT="0" distB="0" distL="114300" distR="114300" simplePos="0" relativeHeight="251655168" behindDoc="1" locked="0" layoutInCell="1" allowOverlap="1" wp14:anchorId="1B2BA8F8" wp14:editId="512F3E5A">
          <wp:simplePos x="0" y="0"/>
          <wp:positionH relativeFrom="margin">
            <wp:posOffset>-914400</wp:posOffset>
          </wp:positionH>
          <wp:positionV relativeFrom="paragraph">
            <wp:posOffset>0</wp:posOffset>
          </wp:positionV>
          <wp:extent cx="7772400" cy="1434905"/>
          <wp:effectExtent l="0" t="0" r="0" b="0"/>
          <wp:wrapNone/>
          <wp:docPr id="20" name="Picture 20"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Text&#10;&#10;Description automatically generated with low confidence"/>
                  <pic:cNvPicPr/>
                </pic:nvPicPr>
                <pic:blipFill>
                  <a:blip r:embed="rId1">
                    <a:extLst>
                      <a:ext uri="{BEBA8EAE-BF5A-486C-A8C5-ECC9F3942E4B}">
                        <a14:imgProps xmlns:a14="http://schemas.microsoft.com/office/drawing/2010/main">
                          <a14:imgLayer r:embed="rId2">
                            <a14:imgEffect>
                              <a14:colorTemperature colorTemp="7200"/>
                            </a14:imgEffect>
                          </a14:imgLayer>
                        </a14:imgProps>
                      </a:ext>
                      <a:ext uri="{28A0092B-C50C-407E-A947-70E740481C1C}">
                        <a14:useLocalDpi xmlns:a14="http://schemas.microsoft.com/office/drawing/2010/main" val="0"/>
                      </a:ext>
                    </a:extLst>
                  </a:blip>
                  <a:stretch>
                    <a:fillRect/>
                  </a:stretch>
                </pic:blipFill>
                <pic:spPr>
                  <a:xfrm>
                    <a:off x="0" y="0"/>
                    <a:ext cx="7772400" cy="1434905"/>
                  </a:xfrm>
                  <a:prstGeom prst="rect">
                    <a:avLst/>
                  </a:prstGeom>
                  <a:solidFill>
                    <a:srgbClr val="1F4E79"/>
                  </a:solid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310FD"/>
    <w:multiLevelType w:val="hybridMultilevel"/>
    <w:tmpl w:val="EB5EFE2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1312C4E"/>
    <w:multiLevelType w:val="hybridMultilevel"/>
    <w:tmpl w:val="C1EACCC4"/>
    <w:lvl w:ilvl="0" w:tplc="FE3E4B56">
      <w:start w:val="1"/>
      <w:numFmt w:val="decimal"/>
      <w:pStyle w:val="Style1"/>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AE878AF"/>
    <w:multiLevelType w:val="multilevel"/>
    <w:tmpl w:val="921A981A"/>
    <w:styleLink w:val="CurrentList1"/>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511270BD"/>
    <w:multiLevelType w:val="hybridMultilevel"/>
    <w:tmpl w:val="AB209BB0"/>
    <w:lvl w:ilvl="0" w:tplc="B2D2B390">
      <w:start w:val="1"/>
      <w:numFmt w:val="decimal"/>
      <w:pStyle w:val="Numbers"/>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40706DD"/>
    <w:multiLevelType w:val="hybridMultilevel"/>
    <w:tmpl w:val="921A981A"/>
    <w:lvl w:ilvl="0" w:tplc="9E56E200">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69F0E41"/>
    <w:multiLevelType w:val="hybridMultilevel"/>
    <w:tmpl w:val="EBC215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39477250">
    <w:abstractNumId w:val="0"/>
  </w:num>
  <w:num w:numId="2" w16cid:durableId="587202810">
    <w:abstractNumId w:val="0"/>
  </w:num>
  <w:num w:numId="3" w16cid:durableId="1839926557">
    <w:abstractNumId w:val="5"/>
  </w:num>
  <w:num w:numId="4" w16cid:durableId="138499193">
    <w:abstractNumId w:val="4"/>
  </w:num>
  <w:num w:numId="5" w16cid:durableId="1157650364">
    <w:abstractNumId w:val="1"/>
  </w:num>
  <w:num w:numId="6" w16cid:durableId="564029695">
    <w:abstractNumId w:val="2"/>
  </w:num>
  <w:num w:numId="7" w16cid:durableId="2690450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F83"/>
    <w:rsid w:val="00001ECE"/>
    <w:rsid w:val="00002A09"/>
    <w:rsid w:val="000032B0"/>
    <w:rsid w:val="0000535B"/>
    <w:rsid w:val="00010A1A"/>
    <w:rsid w:val="00013AC8"/>
    <w:rsid w:val="0001575D"/>
    <w:rsid w:val="00015D53"/>
    <w:rsid w:val="00017D91"/>
    <w:rsid w:val="000231FD"/>
    <w:rsid w:val="00025E65"/>
    <w:rsid w:val="00026FC5"/>
    <w:rsid w:val="00027002"/>
    <w:rsid w:val="00027936"/>
    <w:rsid w:val="000359A8"/>
    <w:rsid w:val="000418A7"/>
    <w:rsid w:val="00041F41"/>
    <w:rsid w:val="00043760"/>
    <w:rsid w:val="00045DDB"/>
    <w:rsid w:val="000478F6"/>
    <w:rsid w:val="00050D04"/>
    <w:rsid w:val="00050EC7"/>
    <w:rsid w:val="00057F91"/>
    <w:rsid w:val="000643AB"/>
    <w:rsid w:val="000666AB"/>
    <w:rsid w:val="00074D33"/>
    <w:rsid w:val="00075CB8"/>
    <w:rsid w:val="00080E07"/>
    <w:rsid w:val="0008180B"/>
    <w:rsid w:val="00081B02"/>
    <w:rsid w:val="00082AAF"/>
    <w:rsid w:val="000834B8"/>
    <w:rsid w:val="00083B67"/>
    <w:rsid w:val="00084A59"/>
    <w:rsid w:val="00085C75"/>
    <w:rsid w:val="00086B75"/>
    <w:rsid w:val="000871EE"/>
    <w:rsid w:val="00087232"/>
    <w:rsid w:val="00092126"/>
    <w:rsid w:val="000927A7"/>
    <w:rsid w:val="0009739A"/>
    <w:rsid w:val="000A01E3"/>
    <w:rsid w:val="000A2CE6"/>
    <w:rsid w:val="000A3217"/>
    <w:rsid w:val="000A4141"/>
    <w:rsid w:val="000A54B9"/>
    <w:rsid w:val="000A7132"/>
    <w:rsid w:val="000A7A27"/>
    <w:rsid w:val="000B471A"/>
    <w:rsid w:val="000B7E8B"/>
    <w:rsid w:val="000C0358"/>
    <w:rsid w:val="000C5D86"/>
    <w:rsid w:val="000D0E85"/>
    <w:rsid w:val="000D4375"/>
    <w:rsid w:val="000E0548"/>
    <w:rsid w:val="000E14E4"/>
    <w:rsid w:val="000E4CD9"/>
    <w:rsid w:val="000E646C"/>
    <w:rsid w:val="000E6502"/>
    <w:rsid w:val="000F21F9"/>
    <w:rsid w:val="0010266B"/>
    <w:rsid w:val="00105A82"/>
    <w:rsid w:val="00107E28"/>
    <w:rsid w:val="001104B3"/>
    <w:rsid w:val="001111CB"/>
    <w:rsid w:val="00112D8F"/>
    <w:rsid w:val="001225DE"/>
    <w:rsid w:val="00122DEE"/>
    <w:rsid w:val="00123E7A"/>
    <w:rsid w:val="00124A77"/>
    <w:rsid w:val="00125C6C"/>
    <w:rsid w:val="00127EF0"/>
    <w:rsid w:val="001312C0"/>
    <w:rsid w:val="00132D71"/>
    <w:rsid w:val="00133D00"/>
    <w:rsid w:val="00137528"/>
    <w:rsid w:val="001379FD"/>
    <w:rsid w:val="00144B86"/>
    <w:rsid w:val="00146897"/>
    <w:rsid w:val="00151841"/>
    <w:rsid w:val="001530AA"/>
    <w:rsid w:val="00153E0D"/>
    <w:rsid w:val="00156337"/>
    <w:rsid w:val="00157115"/>
    <w:rsid w:val="00160B50"/>
    <w:rsid w:val="0016242D"/>
    <w:rsid w:val="00162A57"/>
    <w:rsid w:val="00166452"/>
    <w:rsid w:val="00167120"/>
    <w:rsid w:val="001710C0"/>
    <w:rsid w:val="00172794"/>
    <w:rsid w:val="00172E7E"/>
    <w:rsid w:val="00176044"/>
    <w:rsid w:val="00176BAD"/>
    <w:rsid w:val="00177CCC"/>
    <w:rsid w:val="001813B3"/>
    <w:rsid w:val="00183378"/>
    <w:rsid w:val="00183446"/>
    <w:rsid w:val="00183C62"/>
    <w:rsid w:val="001865ED"/>
    <w:rsid w:val="00190964"/>
    <w:rsid w:val="001928B3"/>
    <w:rsid w:val="00192A0B"/>
    <w:rsid w:val="001A060A"/>
    <w:rsid w:val="001A5F8A"/>
    <w:rsid w:val="001B41B1"/>
    <w:rsid w:val="001B4CFE"/>
    <w:rsid w:val="001B610A"/>
    <w:rsid w:val="001C2406"/>
    <w:rsid w:val="001C2B1D"/>
    <w:rsid w:val="001C3C25"/>
    <w:rsid w:val="001C3CE4"/>
    <w:rsid w:val="001C62A3"/>
    <w:rsid w:val="001D27D9"/>
    <w:rsid w:val="001D3B48"/>
    <w:rsid w:val="001D7B23"/>
    <w:rsid w:val="001E101E"/>
    <w:rsid w:val="001F0911"/>
    <w:rsid w:val="001F1FB1"/>
    <w:rsid w:val="001F245E"/>
    <w:rsid w:val="001F5CBD"/>
    <w:rsid w:val="001F7017"/>
    <w:rsid w:val="00205183"/>
    <w:rsid w:val="0020568A"/>
    <w:rsid w:val="00207323"/>
    <w:rsid w:val="002114BD"/>
    <w:rsid w:val="00211BC4"/>
    <w:rsid w:val="00214D42"/>
    <w:rsid w:val="002156E5"/>
    <w:rsid w:val="00215C52"/>
    <w:rsid w:val="002228CD"/>
    <w:rsid w:val="00226695"/>
    <w:rsid w:val="002268AB"/>
    <w:rsid w:val="002311B5"/>
    <w:rsid w:val="00232416"/>
    <w:rsid w:val="0023346D"/>
    <w:rsid w:val="002369FD"/>
    <w:rsid w:val="00241968"/>
    <w:rsid w:val="00244D23"/>
    <w:rsid w:val="0025010A"/>
    <w:rsid w:val="00254EA2"/>
    <w:rsid w:val="00254F9F"/>
    <w:rsid w:val="00260189"/>
    <w:rsid w:val="00261855"/>
    <w:rsid w:val="0026256A"/>
    <w:rsid w:val="00270176"/>
    <w:rsid w:val="00270753"/>
    <w:rsid w:val="00276DCA"/>
    <w:rsid w:val="00277C91"/>
    <w:rsid w:val="00284B0C"/>
    <w:rsid w:val="00284EF5"/>
    <w:rsid w:val="002853E5"/>
    <w:rsid w:val="002864B3"/>
    <w:rsid w:val="002920FB"/>
    <w:rsid w:val="0029714D"/>
    <w:rsid w:val="002A41E2"/>
    <w:rsid w:val="002A5E81"/>
    <w:rsid w:val="002A6B1C"/>
    <w:rsid w:val="002A78ED"/>
    <w:rsid w:val="002B1788"/>
    <w:rsid w:val="002B5840"/>
    <w:rsid w:val="002C0AE4"/>
    <w:rsid w:val="002C12CA"/>
    <w:rsid w:val="002C412A"/>
    <w:rsid w:val="002C639C"/>
    <w:rsid w:val="002D0230"/>
    <w:rsid w:val="002E3801"/>
    <w:rsid w:val="002E391A"/>
    <w:rsid w:val="002E40D8"/>
    <w:rsid w:val="002F03D7"/>
    <w:rsid w:val="002F2B80"/>
    <w:rsid w:val="002F59D0"/>
    <w:rsid w:val="003014F6"/>
    <w:rsid w:val="00301B28"/>
    <w:rsid w:val="00306E84"/>
    <w:rsid w:val="003079C4"/>
    <w:rsid w:val="00310100"/>
    <w:rsid w:val="003105DB"/>
    <w:rsid w:val="00310CFF"/>
    <w:rsid w:val="003118B9"/>
    <w:rsid w:val="003119B1"/>
    <w:rsid w:val="00314345"/>
    <w:rsid w:val="0031482E"/>
    <w:rsid w:val="0031621B"/>
    <w:rsid w:val="003171BE"/>
    <w:rsid w:val="003176C9"/>
    <w:rsid w:val="00323325"/>
    <w:rsid w:val="003244DA"/>
    <w:rsid w:val="00325528"/>
    <w:rsid w:val="00326B56"/>
    <w:rsid w:val="0033059A"/>
    <w:rsid w:val="00330618"/>
    <w:rsid w:val="00331633"/>
    <w:rsid w:val="0033168B"/>
    <w:rsid w:val="003343A9"/>
    <w:rsid w:val="00334E67"/>
    <w:rsid w:val="00347CC9"/>
    <w:rsid w:val="00350097"/>
    <w:rsid w:val="00350E1C"/>
    <w:rsid w:val="00352251"/>
    <w:rsid w:val="00353589"/>
    <w:rsid w:val="00353725"/>
    <w:rsid w:val="00354473"/>
    <w:rsid w:val="003639E9"/>
    <w:rsid w:val="00365D98"/>
    <w:rsid w:val="003724B8"/>
    <w:rsid w:val="00373C96"/>
    <w:rsid w:val="00376BA5"/>
    <w:rsid w:val="00377E8C"/>
    <w:rsid w:val="00377E9E"/>
    <w:rsid w:val="00380FF7"/>
    <w:rsid w:val="0038324D"/>
    <w:rsid w:val="00383620"/>
    <w:rsid w:val="003878AF"/>
    <w:rsid w:val="00393E99"/>
    <w:rsid w:val="00395028"/>
    <w:rsid w:val="0039613C"/>
    <w:rsid w:val="003A6347"/>
    <w:rsid w:val="003B1886"/>
    <w:rsid w:val="003B3214"/>
    <w:rsid w:val="003B327A"/>
    <w:rsid w:val="003C282B"/>
    <w:rsid w:val="003C3E5E"/>
    <w:rsid w:val="003C5FD7"/>
    <w:rsid w:val="003E46BA"/>
    <w:rsid w:val="003F0A1B"/>
    <w:rsid w:val="003F403D"/>
    <w:rsid w:val="003F59E1"/>
    <w:rsid w:val="003F62F0"/>
    <w:rsid w:val="0040188A"/>
    <w:rsid w:val="00401E93"/>
    <w:rsid w:val="00402253"/>
    <w:rsid w:val="00402A91"/>
    <w:rsid w:val="004036BD"/>
    <w:rsid w:val="00407D21"/>
    <w:rsid w:val="00416329"/>
    <w:rsid w:val="00416DF0"/>
    <w:rsid w:val="004204E0"/>
    <w:rsid w:val="004217B7"/>
    <w:rsid w:val="00424608"/>
    <w:rsid w:val="00430E07"/>
    <w:rsid w:val="0043444E"/>
    <w:rsid w:val="00434612"/>
    <w:rsid w:val="00435320"/>
    <w:rsid w:val="00436BD9"/>
    <w:rsid w:val="00437958"/>
    <w:rsid w:val="00437E34"/>
    <w:rsid w:val="0044014E"/>
    <w:rsid w:val="00440264"/>
    <w:rsid w:val="004433DB"/>
    <w:rsid w:val="00445F1E"/>
    <w:rsid w:val="00450916"/>
    <w:rsid w:val="00451758"/>
    <w:rsid w:val="00460083"/>
    <w:rsid w:val="00460A09"/>
    <w:rsid w:val="004616F1"/>
    <w:rsid w:val="0046205A"/>
    <w:rsid w:val="004635F0"/>
    <w:rsid w:val="00465A20"/>
    <w:rsid w:val="00465F52"/>
    <w:rsid w:val="00470AB1"/>
    <w:rsid w:val="0047433E"/>
    <w:rsid w:val="00474ECB"/>
    <w:rsid w:val="00476AA0"/>
    <w:rsid w:val="00481980"/>
    <w:rsid w:val="00482F01"/>
    <w:rsid w:val="0048406D"/>
    <w:rsid w:val="0049421B"/>
    <w:rsid w:val="004A1A6C"/>
    <w:rsid w:val="004A40D2"/>
    <w:rsid w:val="004A5A2A"/>
    <w:rsid w:val="004A5FC1"/>
    <w:rsid w:val="004B1439"/>
    <w:rsid w:val="004B1C64"/>
    <w:rsid w:val="004B2A09"/>
    <w:rsid w:val="004B2A93"/>
    <w:rsid w:val="004C7E31"/>
    <w:rsid w:val="004D52E3"/>
    <w:rsid w:val="004E6698"/>
    <w:rsid w:val="004E6E55"/>
    <w:rsid w:val="004E7EEF"/>
    <w:rsid w:val="004F08C0"/>
    <w:rsid w:val="004F2090"/>
    <w:rsid w:val="004F4D5B"/>
    <w:rsid w:val="00503E46"/>
    <w:rsid w:val="0050657D"/>
    <w:rsid w:val="00510938"/>
    <w:rsid w:val="00513B1A"/>
    <w:rsid w:val="0051489E"/>
    <w:rsid w:val="005160A6"/>
    <w:rsid w:val="005170D2"/>
    <w:rsid w:val="0052049F"/>
    <w:rsid w:val="005215D6"/>
    <w:rsid w:val="00521E94"/>
    <w:rsid w:val="005335BE"/>
    <w:rsid w:val="00534803"/>
    <w:rsid w:val="00534DD3"/>
    <w:rsid w:val="0054105F"/>
    <w:rsid w:val="0054195F"/>
    <w:rsid w:val="00542FF4"/>
    <w:rsid w:val="00545C01"/>
    <w:rsid w:val="005460CE"/>
    <w:rsid w:val="005477F8"/>
    <w:rsid w:val="005478AC"/>
    <w:rsid w:val="005530B6"/>
    <w:rsid w:val="00554F4A"/>
    <w:rsid w:val="005552A3"/>
    <w:rsid w:val="0055631D"/>
    <w:rsid w:val="00556E33"/>
    <w:rsid w:val="005640BF"/>
    <w:rsid w:val="005650BC"/>
    <w:rsid w:val="00567908"/>
    <w:rsid w:val="005734DB"/>
    <w:rsid w:val="0057459F"/>
    <w:rsid w:val="005753FB"/>
    <w:rsid w:val="00577F84"/>
    <w:rsid w:val="00580AAD"/>
    <w:rsid w:val="00585519"/>
    <w:rsid w:val="005912FE"/>
    <w:rsid w:val="00591C7A"/>
    <w:rsid w:val="00593670"/>
    <w:rsid w:val="0059459C"/>
    <w:rsid w:val="0059620F"/>
    <w:rsid w:val="005A167E"/>
    <w:rsid w:val="005B5396"/>
    <w:rsid w:val="005C1A84"/>
    <w:rsid w:val="005C25E4"/>
    <w:rsid w:val="005C3BB5"/>
    <w:rsid w:val="005C4AF7"/>
    <w:rsid w:val="005C581B"/>
    <w:rsid w:val="005C5E3F"/>
    <w:rsid w:val="005C65B2"/>
    <w:rsid w:val="005D0C58"/>
    <w:rsid w:val="005D4112"/>
    <w:rsid w:val="005D6400"/>
    <w:rsid w:val="005E4C81"/>
    <w:rsid w:val="005F3908"/>
    <w:rsid w:val="00602021"/>
    <w:rsid w:val="0060287B"/>
    <w:rsid w:val="00603A94"/>
    <w:rsid w:val="00607B60"/>
    <w:rsid w:val="00612A0E"/>
    <w:rsid w:val="006146B0"/>
    <w:rsid w:val="006200A6"/>
    <w:rsid w:val="00620A04"/>
    <w:rsid w:val="006213F9"/>
    <w:rsid w:val="00623E52"/>
    <w:rsid w:val="006247E9"/>
    <w:rsid w:val="00627017"/>
    <w:rsid w:val="00627F72"/>
    <w:rsid w:val="0063404B"/>
    <w:rsid w:val="00636212"/>
    <w:rsid w:val="0064142B"/>
    <w:rsid w:val="006416AF"/>
    <w:rsid w:val="006459E3"/>
    <w:rsid w:val="00645AD0"/>
    <w:rsid w:val="0065300F"/>
    <w:rsid w:val="00654B2A"/>
    <w:rsid w:val="00656C73"/>
    <w:rsid w:val="00657358"/>
    <w:rsid w:val="00657D2E"/>
    <w:rsid w:val="00662485"/>
    <w:rsid w:val="006626BD"/>
    <w:rsid w:val="00667F9C"/>
    <w:rsid w:val="0067111B"/>
    <w:rsid w:val="00673F45"/>
    <w:rsid w:val="00681DC8"/>
    <w:rsid w:val="006836E9"/>
    <w:rsid w:val="00690E70"/>
    <w:rsid w:val="00694286"/>
    <w:rsid w:val="00697541"/>
    <w:rsid w:val="006A0D96"/>
    <w:rsid w:val="006A4D33"/>
    <w:rsid w:val="006B0D8F"/>
    <w:rsid w:val="006C0A4A"/>
    <w:rsid w:val="006C630A"/>
    <w:rsid w:val="006D06AC"/>
    <w:rsid w:val="006D13A0"/>
    <w:rsid w:val="006D176A"/>
    <w:rsid w:val="006D195E"/>
    <w:rsid w:val="006D1DE2"/>
    <w:rsid w:val="006D22A4"/>
    <w:rsid w:val="006D3772"/>
    <w:rsid w:val="006D54A8"/>
    <w:rsid w:val="006D6799"/>
    <w:rsid w:val="006E0511"/>
    <w:rsid w:val="006E0DB1"/>
    <w:rsid w:val="006E60DF"/>
    <w:rsid w:val="006F7E40"/>
    <w:rsid w:val="00701269"/>
    <w:rsid w:val="00704C25"/>
    <w:rsid w:val="0070562B"/>
    <w:rsid w:val="00716F12"/>
    <w:rsid w:val="00717D51"/>
    <w:rsid w:val="007214B3"/>
    <w:rsid w:val="00721F71"/>
    <w:rsid w:val="00722A43"/>
    <w:rsid w:val="0073360C"/>
    <w:rsid w:val="00736B38"/>
    <w:rsid w:val="0073717C"/>
    <w:rsid w:val="00737429"/>
    <w:rsid w:val="0074260B"/>
    <w:rsid w:val="00742C85"/>
    <w:rsid w:val="00745FF8"/>
    <w:rsid w:val="00750CD9"/>
    <w:rsid w:val="00752041"/>
    <w:rsid w:val="00752249"/>
    <w:rsid w:val="00754539"/>
    <w:rsid w:val="00754753"/>
    <w:rsid w:val="00754FD0"/>
    <w:rsid w:val="007562FC"/>
    <w:rsid w:val="00761F56"/>
    <w:rsid w:val="00770D40"/>
    <w:rsid w:val="0077154C"/>
    <w:rsid w:val="0077361B"/>
    <w:rsid w:val="00775F51"/>
    <w:rsid w:val="00777721"/>
    <w:rsid w:val="00780AA1"/>
    <w:rsid w:val="0078467D"/>
    <w:rsid w:val="007848D3"/>
    <w:rsid w:val="00785F83"/>
    <w:rsid w:val="007900CB"/>
    <w:rsid w:val="0079199D"/>
    <w:rsid w:val="007928FE"/>
    <w:rsid w:val="0079305F"/>
    <w:rsid w:val="007A5A12"/>
    <w:rsid w:val="007B1281"/>
    <w:rsid w:val="007B4513"/>
    <w:rsid w:val="007B6D3B"/>
    <w:rsid w:val="007C00E5"/>
    <w:rsid w:val="007C3421"/>
    <w:rsid w:val="007C3470"/>
    <w:rsid w:val="007C3602"/>
    <w:rsid w:val="007C3727"/>
    <w:rsid w:val="007C40CE"/>
    <w:rsid w:val="007C4327"/>
    <w:rsid w:val="007C7D8C"/>
    <w:rsid w:val="007D09D8"/>
    <w:rsid w:val="007D4724"/>
    <w:rsid w:val="007E0B53"/>
    <w:rsid w:val="007E15E0"/>
    <w:rsid w:val="007E44AB"/>
    <w:rsid w:val="007E5323"/>
    <w:rsid w:val="007F6B5D"/>
    <w:rsid w:val="00800766"/>
    <w:rsid w:val="0080131C"/>
    <w:rsid w:val="00805843"/>
    <w:rsid w:val="00805CC5"/>
    <w:rsid w:val="0080655E"/>
    <w:rsid w:val="008107AA"/>
    <w:rsid w:val="00813045"/>
    <w:rsid w:val="008130DA"/>
    <w:rsid w:val="00815481"/>
    <w:rsid w:val="00815BC2"/>
    <w:rsid w:val="0081666B"/>
    <w:rsid w:val="00817377"/>
    <w:rsid w:val="00822622"/>
    <w:rsid w:val="00831E2B"/>
    <w:rsid w:val="00832D28"/>
    <w:rsid w:val="0083681A"/>
    <w:rsid w:val="00847102"/>
    <w:rsid w:val="00853C6E"/>
    <w:rsid w:val="00857CA5"/>
    <w:rsid w:val="00867510"/>
    <w:rsid w:val="00871C1A"/>
    <w:rsid w:val="0087201F"/>
    <w:rsid w:val="0087289E"/>
    <w:rsid w:val="00874408"/>
    <w:rsid w:val="00882765"/>
    <w:rsid w:val="00882A53"/>
    <w:rsid w:val="0088300E"/>
    <w:rsid w:val="00886BD5"/>
    <w:rsid w:val="00887388"/>
    <w:rsid w:val="00890BA1"/>
    <w:rsid w:val="00890E1D"/>
    <w:rsid w:val="008922D3"/>
    <w:rsid w:val="00892539"/>
    <w:rsid w:val="0089320B"/>
    <w:rsid w:val="00896C6F"/>
    <w:rsid w:val="008A3DC3"/>
    <w:rsid w:val="008A6E66"/>
    <w:rsid w:val="008B059D"/>
    <w:rsid w:val="008C1EA3"/>
    <w:rsid w:val="008C345B"/>
    <w:rsid w:val="008C6F6A"/>
    <w:rsid w:val="008D024B"/>
    <w:rsid w:val="008D2730"/>
    <w:rsid w:val="008D51A0"/>
    <w:rsid w:val="008D5219"/>
    <w:rsid w:val="008E494E"/>
    <w:rsid w:val="008E64A6"/>
    <w:rsid w:val="008F12C5"/>
    <w:rsid w:val="008F15EA"/>
    <w:rsid w:val="008F46A7"/>
    <w:rsid w:val="008F7E2F"/>
    <w:rsid w:val="00900DBC"/>
    <w:rsid w:val="00912FB8"/>
    <w:rsid w:val="00913F14"/>
    <w:rsid w:val="00915E05"/>
    <w:rsid w:val="0091767C"/>
    <w:rsid w:val="0092034A"/>
    <w:rsid w:val="00921DBE"/>
    <w:rsid w:val="0092306F"/>
    <w:rsid w:val="009256C4"/>
    <w:rsid w:val="009303A0"/>
    <w:rsid w:val="0093743F"/>
    <w:rsid w:val="009375FE"/>
    <w:rsid w:val="009407A1"/>
    <w:rsid w:val="00945145"/>
    <w:rsid w:val="00945C7F"/>
    <w:rsid w:val="00946D4A"/>
    <w:rsid w:val="00950D76"/>
    <w:rsid w:val="00951888"/>
    <w:rsid w:val="00953B8C"/>
    <w:rsid w:val="00953F34"/>
    <w:rsid w:val="00954C2D"/>
    <w:rsid w:val="00956623"/>
    <w:rsid w:val="00956B75"/>
    <w:rsid w:val="00957AA6"/>
    <w:rsid w:val="00960659"/>
    <w:rsid w:val="00961059"/>
    <w:rsid w:val="00963F94"/>
    <w:rsid w:val="00965378"/>
    <w:rsid w:val="0096573C"/>
    <w:rsid w:val="00966533"/>
    <w:rsid w:val="0096778F"/>
    <w:rsid w:val="0096795D"/>
    <w:rsid w:val="00973EEB"/>
    <w:rsid w:val="009745D6"/>
    <w:rsid w:val="00977AE7"/>
    <w:rsid w:val="009802F1"/>
    <w:rsid w:val="00981675"/>
    <w:rsid w:val="00985B7F"/>
    <w:rsid w:val="00986E1D"/>
    <w:rsid w:val="00992EDE"/>
    <w:rsid w:val="00996601"/>
    <w:rsid w:val="00996A8C"/>
    <w:rsid w:val="009A03F9"/>
    <w:rsid w:val="009A3885"/>
    <w:rsid w:val="009A4FA7"/>
    <w:rsid w:val="009A6291"/>
    <w:rsid w:val="009A6579"/>
    <w:rsid w:val="009B0737"/>
    <w:rsid w:val="009B0D6E"/>
    <w:rsid w:val="009B1B42"/>
    <w:rsid w:val="009B2887"/>
    <w:rsid w:val="009B6FCA"/>
    <w:rsid w:val="009B7675"/>
    <w:rsid w:val="009C29B1"/>
    <w:rsid w:val="009C6EA8"/>
    <w:rsid w:val="009D180F"/>
    <w:rsid w:val="009D2241"/>
    <w:rsid w:val="009D4F89"/>
    <w:rsid w:val="009D6996"/>
    <w:rsid w:val="009E2F8C"/>
    <w:rsid w:val="009E4BB1"/>
    <w:rsid w:val="009E6AC3"/>
    <w:rsid w:val="009F1F68"/>
    <w:rsid w:val="009F21C4"/>
    <w:rsid w:val="009F23EF"/>
    <w:rsid w:val="009F28D2"/>
    <w:rsid w:val="00A017CA"/>
    <w:rsid w:val="00A10126"/>
    <w:rsid w:val="00A139C9"/>
    <w:rsid w:val="00A1782B"/>
    <w:rsid w:val="00A2068E"/>
    <w:rsid w:val="00A2088C"/>
    <w:rsid w:val="00A2539A"/>
    <w:rsid w:val="00A25A48"/>
    <w:rsid w:val="00A35390"/>
    <w:rsid w:val="00A3559A"/>
    <w:rsid w:val="00A358FD"/>
    <w:rsid w:val="00A35EE2"/>
    <w:rsid w:val="00A364ED"/>
    <w:rsid w:val="00A37F31"/>
    <w:rsid w:val="00A41720"/>
    <w:rsid w:val="00A42571"/>
    <w:rsid w:val="00A45D52"/>
    <w:rsid w:val="00A47356"/>
    <w:rsid w:val="00A4749D"/>
    <w:rsid w:val="00A47E53"/>
    <w:rsid w:val="00A5422D"/>
    <w:rsid w:val="00A554A1"/>
    <w:rsid w:val="00A55625"/>
    <w:rsid w:val="00A608CA"/>
    <w:rsid w:val="00A60995"/>
    <w:rsid w:val="00A648D1"/>
    <w:rsid w:val="00A66F2A"/>
    <w:rsid w:val="00A675BE"/>
    <w:rsid w:val="00A7320C"/>
    <w:rsid w:val="00A750DA"/>
    <w:rsid w:val="00A761D3"/>
    <w:rsid w:val="00A86766"/>
    <w:rsid w:val="00A91006"/>
    <w:rsid w:val="00A92D0C"/>
    <w:rsid w:val="00A96CA0"/>
    <w:rsid w:val="00AA0451"/>
    <w:rsid w:val="00AA16AC"/>
    <w:rsid w:val="00AA29A8"/>
    <w:rsid w:val="00AB0545"/>
    <w:rsid w:val="00AB1D2A"/>
    <w:rsid w:val="00AB30DB"/>
    <w:rsid w:val="00AC28D6"/>
    <w:rsid w:val="00AC3065"/>
    <w:rsid w:val="00AC4C87"/>
    <w:rsid w:val="00AC6A57"/>
    <w:rsid w:val="00AD04AA"/>
    <w:rsid w:val="00AD1A34"/>
    <w:rsid w:val="00AD4C46"/>
    <w:rsid w:val="00AD62F0"/>
    <w:rsid w:val="00AD642D"/>
    <w:rsid w:val="00AE1A13"/>
    <w:rsid w:val="00AE298D"/>
    <w:rsid w:val="00AE3BB8"/>
    <w:rsid w:val="00AE3EB4"/>
    <w:rsid w:val="00AE6343"/>
    <w:rsid w:val="00AF276C"/>
    <w:rsid w:val="00AF5A18"/>
    <w:rsid w:val="00AF6456"/>
    <w:rsid w:val="00AF765C"/>
    <w:rsid w:val="00B01F83"/>
    <w:rsid w:val="00B02FC9"/>
    <w:rsid w:val="00B03A0D"/>
    <w:rsid w:val="00B062F3"/>
    <w:rsid w:val="00B151AD"/>
    <w:rsid w:val="00B170CC"/>
    <w:rsid w:val="00B20739"/>
    <w:rsid w:val="00B209A7"/>
    <w:rsid w:val="00B31A16"/>
    <w:rsid w:val="00B330BD"/>
    <w:rsid w:val="00B3472D"/>
    <w:rsid w:val="00B347C2"/>
    <w:rsid w:val="00B40DFC"/>
    <w:rsid w:val="00B441CE"/>
    <w:rsid w:val="00B46E8C"/>
    <w:rsid w:val="00B500F8"/>
    <w:rsid w:val="00B65888"/>
    <w:rsid w:val="00B704CC"/>
    <w:rsid w:val="00B81A3B"/>
    <w:rsid w:val="00B85795"/>
    <w:rsid w:val="00B86C67"/>
    <w:rsid w:val="00B92635"/>
    <w:rsid w:val="00B92DC4"/>
    <w:rsid w:val="00B95302"/>
    <w:rsid w:val="00B97E5A"/>
    <w:rsid w:val="00BA51DE"/>
    <w:rsid w:val="00BA6A26"/>
    <w:rsid w:val="00BA70FF"/>
    <w:rsid w:val="00BA71CB"/>
    <w:rsid w:val="00BB352F"/>
    <w:rsid w:val="00BB3FAF"/>
    <w:rsid w:val="00BB4423"/>
    <w:rsid w:val="00BB55D6"/>
    <w:rsid w:val="00BC0D66"/>
    <w:rsid w:val="00BC1205"/>
    <w:rsid w:val="00BC4153"/>
    <w:rsid w:val="00BD05F0"/>
    <w:rsid w:val="00BD0F21"/>
    <w:rsid w:val="00BD2974"/>
    <w:rsid w:val="00BD2F20"/>
    <w:rsid w:val="00BD363D"/>
    <w:rsid w:val="00BD5FEE"/>
    <w:rsid w:val="00BD6EF6"/>
    <w:rsid w:val="00BD7E94"/>
    <w:rsid w:val="00BE0E5A"/>
    <w:rsid w:val="00BE4F46"/>
    <w:rsid w:val="00BF05EC"/>
    <w:rsid w:val="00BF0DA5"/>
    <w:rsid w:val="00BF155E"/>
    <w:rsid w:val="00BF2D61"/>
    <w:rsid w:val="00BF3A7C"/>
    <w:rsid w:val="00BF7895"/>
    <w:rsid w:val="00C0002D"/>
    <w:rsid w:val="00C066D8"/>
    <w:rsid w:val="00C075BE"/>
    <w:rsid w:val="00C10518"/>
    <w:rsid w:val="00C105B5"/>
    <w:rsid w:val="00C16329"/>
    <w:rsid w:val="00C16B23"/>
    <w:rsid w:val="00C20390"/>
    <w:rsid w:val="00C20959"/>
    <w:rsid w:val="00C22379"/>
    <w:rsid w:val="00C22763"/>
    <w:rsid w:val="00C234BD"/>
    <w:rsid w:val="00C24714"/>
    <w:rsid w:val="00C334B0"/>
    <w:rsid w:val="00C34FFF"/>
    <w:rsid w:val="00C407A2"/>
    <w:rsid w:val="00C41C9C"/>
    <w:rsid w:val="00C434EA"/>
    <w:rsid w:val="00C46012"/>
    <w:rsid w:val="00C47C42"/>
    <w:rsid w:val="00C547F1"/>
    <w:rsid w:val="00C5567F"/>
    <w:rsid w:val="00C60C7C"/>
    <w:rsid w:val="00C61EBD"/>
    <w:rsid w:val="00C63ADE"/>
    <w:rsid w:val="00C63D82"/>
    <w:rsid w:val="00C73AAD"/>
    <w:rsid w:val="00C746BD"/>
    <w:rsid w:val="00C76AED"/>
    <w:rsid w:val="00C77E4B"/>
    <w:rsid w:val="00C8517F"/>
    <w:rsid w:val="00C919A0"/>
    <w:rsid w:val="00C960B7"/>
    <w:rsid w:val="00CA4DB0"/>
    <w:rsid w:val="00CA5627"/>
    <w:rsid w:val="00CB0036"/>
    <w:rsid w:val="00CC1EAA"/>
    <w:rsid w:val="00CC316C"/>
    <w:rsid w:val="00CD08DE"/>
    <w:rsid w:val="00CD19F7"/>
    <w:rsid w:val="00CD4658"/>
    <w:rsid w:val="00CD523F"/>
    <w:rsid w:val="00CD6193"/>
    <w:rsid w:val="00CD7CA8"/>
    <w:rsid w:val="00CD7E58"/>
    <w:rsid w:val="00CE1456"/>
    <w:rsid w:val="00CF118C"/>
    <w:rsid w:val="00CF1195"/>
    <w:rsid w:val="00CF13B7"/>
    <w:rsid w:val="00CF3506"/>
    <w:rsid w:val="00CF712E"/>
    <w:rsid w:val="00D00518"/>
    <w:rsid w:val="00D010BD"/>
    <w:rsid w:val="00D03F2F"/>
    <w:rsid w:val="00D0513E"/>
    <w:rsid w:val="00D061C3"/>
    <w:rsid w:val="00D07956"/>
    <w:rsid w:val="00D10D0E"/>
    <w:rsid w:val="00D126F1"/>
    <w:rsid w:val="00D128E8"/>
    <w:rsid w:val="00D15637"/>
    <w:rsid w:val="00D1723D"/>
    <w:rsid w:val="00D20441"/>
    <w:rsid w:val="00D215B6"/>
    <w:rsid w:val="00D27B49"/>
    <w:rsid w:val="00D31E52"/>
    <w:rsid w:val="00D33806"/>
    <w:rsid w:val="00D34058"/>
    <w:rsid w:val="00D36A48"/>
    <w:rsid w:val="00D42F01"/>
    <w:rsid w:val="00D4300F"/>
    <w:rsid w:val="00D432FD"/>
    <w:rsid w:val="00D465C9"/>
    <w:rsid w:val="00D46FAC"/>
    <w:rsid w:val="00D510F7"/>
    <w:rsid w:val="00D65ECE"/>
    <w:rsid w:val="00D71B10"/>
    <w:rsid w:val="00D729BF"/>
    <w:rsid w:val="00D747A8"/>
    <w:rsid w:val="00D75691"/>
    <w:rsid w:val="00D7710D"/>
    <w:rsid w:val="00D776E8"/>
    <w:rsid w:val="00D81D49"/>
    <w:rsid w:val="00D82DAA"/>
    <w:rsid w:val="00D83A25"/>
    <w:rsid w:val="00D83E09"/>
    <w:rsid w:val="00D848BE"/>
    <w:rsid w:val="00D87084"/>
    <w:rsid w:val="00D8709F"/>
    <w:rsid w:val="00D9455C"/>
    <w:rsid w:val="00D94E82"/>
    <w:rsid w:val="00DA2234"/>
    <w:rsid w:val="00DA2DEC"/>
    <w:rsid w:val="00DA467F"/>
    <w:rsid w:val="00DB0943"/>
    <w:rsid w:val="00DB1AA5"/>
    <w:rsid w:val="00DB59A4"/>
    <w:rsid w:val="00DB6AD0"/>
    <w:rsid w:val="00DB7C1E"/>
    <w:rsid w:val="00DC07EE"/>
    <w:rsid w:val="00DC1506"/>
    <w:rsid w:val="00DC55EC"/>
    <w:rsid w:val="00DC6504"/>
    <w:rsid w:val="00DC7220"/>
    <w:rsid w:val="00DD184E"/>
    <w:rsid w:val="00DD2BDC"/>
    <w:rsid w:val="00DD731A"/>
    <w:rsid w:val="00DE086A"/>
    <w:rsid w:val="00DE2268"/>
    <w:rsid w:val="00DE4001"/>
    <w:rsid w:val="00DE4409"/>
    <w:rsid w:val="00DE478C"/>
    <w:rsid w:val="00DE4CC9"/>
    <w:rsid w:val="00DE613A"/>
    <w:rsid w:val="00DF411E"/>
    <w:rsid w:val="00DF7795"/>
    <w:rsid w:val="00E02A9E"/>
    <w:rsid w:val="00E047BD"/>
    <w:rsid w:val="00E077B8"/>
    <w:rsid w:val="00E132E6"/>
    <w:rsid w:val="00E22DD1"/>
    <w:rsid w:val="00E23762"/>
    <w:rsid w:val="00E250AA"/>
    <w:rsid w:val="00E302C4"/>
    <w:rsid w:val="00E318C9"/>
    <w:rsid w:val="00E31F8C"/>
    <w:rsid w:val="00E3381F"/>
    <w:rsid w:val="00E33FB3"/>
    <w:rsid w:val="00E34181"/>
    <w:rsid w:val="00E35013"/>
    <w:rsid w:val="00E35D19"/>
    <w:rsid w:val="00E36750"/>
    <w:rsid w:val="00E37C15"/>
    <w:rsid w:val="00E4060D"/>
    <w:rsid w:val="00E4062C"/>
    <w:rsid w:val="00E40C3D"/>
    <w:rsid w:val="00E44884"/>
    <w:rsid w:val="00E456F1"/>
    <w:rsid w:val="00E46188"/>
    <w:rsid w:val="00E4780C"/>
    <w:rsid w:val="00E51D7E"/>
    <w:rsid w:val="00E53285"/>
    <w:rsid w:val="00E54BEE"/>
    <w:rsid w:val="00E5715D"/>
    <w:rsid w:val="00E5727F"/>
    <w:rsid w:val="00E578C4"/>
    <w:rsid w:val="00E636E6"/>
    <w:rsid w:val="00E6481D"/>
    <w:rsid w:val="00E64AEC"/>
    <w:rsid w:val="00E65D35"/>
    <w:rsid w:val="00E7187F"/>
    <w:rsid w:val="00E72019"/>
    <w:rsid w:val="00E72902"/>
    <w:rsid w:val="00E739D4"/>
    <w:rsid w:val="00E749C3"/>
    <w:rsid w:val="00E7590D"/>
    <w:rsid w:val="00E802E8"/>
    <w:rsid w:val="00E8190F"/>
    <w:rsid w:val="00E8432A"/>
    <w:rsid w:val="00E913B2"/>
    <w:rsid w:val="00EA2981"/>
    <w:rsid w:val="00EA2CD3"/>
    <w:rsid w:val="00EA2F2A"/>
    <w:rsid w:val="00EA5B86"/>
    <w:rsid w:val="00EA763F"/>
    <w:rsid w:val="00EB1B71"/>
    <w:rsid w:val="00EB252D"/>
    <w:rsid w:val="00EB2961"/>
    <w:rsid w:val="00EB2CA3"/>
    <w:rsid w:val="00EB334C"/>
    <w:rsid w:val="00EB4238"/>
    <w:rsid w:val="00EB49AC"/>
    <w:rsid w:val="00EB4B61"/>
    <w:rsid w:val="00EB6DC0"/>
    <w:rsid w:val="00EC22D0"/>
    <w:rsid w:val="00EC23F2"/>
    <w:rsid w:val="00EC2A4F"/>
    <w:rsid w:val="00EC6CB8"/>
    <w:rsid w:val="00EC789A"/>
    <w:rsid w:val="00ED0B05"/>
    <w:rsid w:val="00ED27FC"/>
    <w:rsid w:val="00EE26A4"/>
    <w:rsid w:val="00EE505B"/>
    <w:rsid w:val="00EE6F6F"/>
    <w:rsid w:val="00F00818"/>
    <w:rsid w:val="00F01A99"/>
    <w:rsid w:val="00F024C3"/>
    <w:rsid w:val="00F03600"/>
    <w:rsid w:val="00F06772"/>
    <w:rsid w:val="00F07937"/>
    <w:rsid w:val="00F105E6"/>
    <w:rsid w:val="00F11245"/>
    <w:rsid w:val="00F1131E"/>
    <w:rsid w:val="00F1254A"/>
    <w:rsid w:val="00F13AB3"/>
    <w:rsid w:val="00F2081D"/>
    <w:rsid w:val="00F22843"/>
    <w:rsid w:val="00F264CF"/>
    <w:rsid w:val="00F27208"/>
    <w:rsid w:val="00F34596"/>
    <w:rsid w:val="00F35B69"/>
    <w:rsid w:val="00F35E94"/>
    <w:rsid w:val="00F402BD"/>
    <w:rsid w:val="00F40B43"/>
    <w:rsid w:val="00F40BDC"/>
    <w:rsid w:val="00F4138C"/>
    <w:rsid w:val="00F418DC"/>
    <w:rsid w:val="00F41BD7"/>
    <w:rsid w:val="00F41EBA"/>
    <w:rsid w:val="00F43485"/>
    <w:rsid w:val="00F4702E"/>
    <w:rsid w:val="00F47C51"/>
    <w:rsid w:val="00F51A3F"/>
    <w:rsid w:val="00F5351F"/>
    <w:rsid w:val="00F537E4"/>
    <w:rsid w:val="00F56E8C"/>
    <w:rsid w:val="00F60C8B"/>
    <w:rsid w:val="00F677F0"/>
    <w:rsid w:val="00F67F9D"/>
    <w:rsid w:val="00F73353"/>
    <w:rsid w:val="00F75F7E"/>
    <w:rsid w:val="00F80C68"/>
    <w:rsid w:val="00F84C72"/>
    <w:rsid w:val="00F90B4C"/>
    <w:rsid w:val="00F920AA"/>
    <w:rsid w:val="00F93942"/>
    <w:rsid w:val="00F95110"/>
    <w:rsid w:val="00FA099D"/>
    <w:rsid w:val="00FA724A"/>
    <w:rsid w:val="00FB26C9"/>
    <w:rsid w:val="00FB5F93"/>
    <w:rsid w:val="00FC30D6"/>
    <w:rsid w:val="00FC47BB"/>
    <w:rsid w:val="00FC4D4B"/>
    <w:rsid w:val="00FC4FB0"/>
    <w:rsid w:val="00FC6C1A"/>
    <w:rsid w:val="00FC7E7D"/>
    <w:rsid w:val="00FD3ECC"/>
    <w:rsid w:val="00FD45D4"/>
    <w:rsid w:val="00FD511C"/>
    <w:rsid w:val="00FD5545"/>
    <w:rsid w:val="00FD7B08"/>
    <w:rsid w:val="00FE0D67"/>
    <w:rsid w:val="00FE1D9C"/>
    <w:rsid w:val="00FE2AA3"/>
    <w:rsid w:val="00FE3DE4"/>
    <w:rsid w:val="00FE49F3"/>
    <w:rsid w:val="00FE64F6"/>
    <w:rsid w:val="00FE7EB4"/>
    <w:rsid w:val="00FF55E8"/>
    <w:rsid w:val="00FF5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C7C55"/>
  <w15:docId w15:val="{54597111-4B90-4F40-A458-00AED6535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B7F"/>
    <w:pPr>
      <w:spacing w:after="0" w:line="240" w:lineRule="auto"/>
      <w:contextualSpacing/>
    </w:pPr>
    <w:rPr>
      <w:rFonts w:asciiTheme="majorHAnsi" w:hAnsiTheme="majorHAnsi"/>
      <w:sz w:val="21"/>
    </w:rPr>
  </w:style>
  <w:style w:type="paragraph" w:styleId="Heading1">
    <w:name w:val="heading 1"/>
    <w:basedOn w:val="Normal"/>
    <w:next w:val="Normal"/>
    <w:link w:val="Heading1Char"/>
    <w:uiPriority w:val="9"/>
    <w:qFormat/>
    <w:rsid w:val="00436BD9"/>
    <w:pPr>
      <w:keepNext/>
      <w:keepLines/>
      <w:spacing w:before="240"/>
      <w:jc w:val="center"/>
      <w:outlineLvl w:val="0"/>
    </w:pPr>
    <w:rPr>
      <w:rFonts w:ascii="Century Gothic" w:eastAsiaTheme="majorEastAsia" w:hAnsi="Century Gothic" w:cs="Times New Roman (Headings CS)"/>
      <w:b/>
      <w:color w:val="1E376C"/>
      <w:sz w:val="48"/>
      <w:szCs w:val="32"/>
    </w:rPr>
  </w:style>
  <w:style w:type="paragraph" w:styleId="Heading3">
    <w:name w:val="heading 3"/>
    <w:basedOn w:val="Normal"/>
    <w:link w:val="Heading3Char"/>
    <w:uiPriority w:val="9"/>
    <w:qFormat/>
    <w:rsid w:val="003105DB"/>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1F83"/>
    <w:rPr>
      <w:color w:val="0563C1" w:themeColor="hyperlink"/>
      <w:u w:val="single"/>
    </w:rPr>
  </w:style>
  <w:style w:type="paragraph" w:styleId="BalloonText">
    <w:name w:val="Balloon Text"/>
    <w:basedOn w:val="Normal"/>
    <w:link w:val="BalloonTextChar"/>
    <w:uiPriority w:val="99"/>
    <w:semiHidden/>
    <w:unhideWhenUsed/>
    <w:rsid w:val="003233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325"/>
    <w:rPr>
      <w:rFonts w:ascii="Segoe UI" w:hAnsi="Segoe UI" w:cs="Segoe UI"/>
      <w:sz w:val="18"/>
      <w:szCs w:val="18"/>
    </w:rPr>
  </w:style>
  <w:style w:type="character" w:styleId="Emphasis">
    <w:name w:val="Emphasis"/>
    <w:basedOn w:val="DefaultParagraphFont"/>
    <w:uiPriority w:val="20"/>
    <w:qFormat/>
    <w:rsid w:val="003105DB"/>
    <w:rPr>
      <w:i/>
      <w:iCs/>
    </w:rPr>
  </w:style>
  <w:style w:type="character" w:customStyle="1" w:styleId="Heading3Char">
    <w:name w:val="Heading 3 Char"/>
    <w:basedOn w:val="DefaultParagraphFont"/>
    <w:link w:val="Heading3"/>
    <w:uiPriority w:val="9"/>
    <w:rsid w:val="003105D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105DB"/>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577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ed"/>
    <w:basedOn w:val="Normal"/>
    <w:uiPriority w:val="34"/>
    <w:qFormat/>
    <w:rsid w:val="00985B7F"/>
    <w:pPr>
      <w:numPr>
        <w:numId w:val="4"/>
      </w:numPr>
      <w:ind w:left="720"/>
    </w:pPr>
    <w:rPr>
      <w:rFonts w:ascii="Century Gothic" w:hAnsi="Century Gothic"/>
      <w:b/>
    </w:rPr>
  </w:style>
  <w:style w:type="character" w:styleId="UnresolvedMention">
    <w:name w:val="Unresolved Mention"/>
    <w:basedOn w:val="DefaultParagraphFont"/>
    <w:uiPriority w:val="99"/>
    <w:semiHidden/>
    <w:unhideWhenUsed/>
    <w:rsid w:val="00D34058"/>
    <w:rPr>
      <w:color w:val="605E5C"/>
      <w:shd w:val="clear" w:color="auto" w:fill="E1DFDD"/>
    </w:rPr>
  </w:style>
  <w:style w:type="paragraph" w:styleId="Caption">
    <w:name w:val="caption"/>
    <w:basedOn w:val="Normal"/>
    <w:next w:val="Normal"/>
    <w:uiPriority w:val="35"/>
    <w:unhideWhenUsed/>
    <w:qFormat/>
    <w:rsid w:val="00C73AAD"/>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59459C"/>
    <w:rPr>
      <w:sz w:val="16"/>
      <w:szCs w:val="16"/>
    </w:rPr>
  </w:style>
  <w:style w:type="paragraph" w:styleId="CommentText">
    <w:name w:val="annotation text"/>
    <w:basedOn w:val="Normal"/>
    <w:link w:val="CommentTextChar"/>
    <w:uiPriority w:val="99"/>
    <w:semiHidden/>
    <w:unhideWhenUsed/>
    <w:rsid w:val="0059459C"/>
    <w:rPr>
      <w:sz w:val="20"/>
      <w:szCs w:val="20"/>
    </w:rPr>
  </w:style>
  <w:style w:type="character" w:customStyle="1" w:styleId="CommentTextChar">
    <w:name w:val="Comment Text Char"/>
    <w:basedOn w:val="DefaultParagraphFont"/>
    <w:link w:val="CommentText"/>
    <w:uiPriority w:val="99"/>
    <w:semiHidden/>
    <w:rsid w:val="0059459C"/>
    <w:rPr>
      <w:sz w:val="20"/>
      <w:szCs w:val="20"/>
    </w:rPr>
  </w:style>
  <w:style w:type="paragraph" w:styleId="CommentSubject">
    <w:name w:val="annotation subject"/>
    <w:basedOn w:val="CommentText"/>
    <w:next w:val="CommentText"/>
    <w:link w:val="CommentSubjectChar"/>
    <w:uiPriority w:val="99"/>
    <w:semiHidden/>
    <w:unhideWhenUsed/>
    <w:rsid w:val="0059459C"/>
    <w:rPr>
      <w:b/>
      <w:bCs/>
    </w:rPr>
  </w:style>
  <w:style w:type="character" w:customStyle="1" w:styleId="CommentSubjectChar">
    <w:name w:val="Comment Subject Char"/>
    <w:basedOn w:val="CommentTextChar"/>
    <w:link w:val="CommentSubject"/>
    <w:uiPriority w:val="99"/>
    <w:semiHidden/>
    <w:rsid w:val="0059459C"/>
    <w:rPr>
      <w:b/>
      <w:bCs/>
      <w:sz w:val="20"/>
      <w:szCs w:val="20"/>
    </w:rPr>
  </w:style>
  <w:style w:type="paragraph" w:styleId="Header">
    <w:name w:val="header"/>
    <w:basedOn w:val="Normal"/>
    <w:link w:val="HeaderChar"/>
    <w:uiPriority w:val="99"/>
    <w:unhideWhenUsed/>
    <w:rsid w:val="003B327A"/>
    <w:pPr>
      <w:tabs>
        <w:tab w:val="center" w:pos="4680"/>
        <w:tab w:val="right" w:pos="9360"/>
      </w:tabs>
    </w:pPr>
  </w:style>
  <w:style w:type="character" w:customStyle="1" w:styleId="HeaderChar">
    <w:name w:val="Header Char"/>
    <w:basedOn w:val="DefaultParagraphFont"/>
    <w:link w:val="Header"/>
    <w:uiPriority w:val="99"/>
    <w:rsid w:val="003B327A"/>
  </w:style>
  <w:style w:type="paragraph" w:styleId="Footer">
    <w:name w:val="footer"/>
    <w:basedOn w:val="Normal"/>
    <w:link w:val="FooterChar"/>
    <w:uiPriority w:val="99"/>
    <w:unhideWhenUsed/>
    <w:rsid w:val="003B327A"/>
    <w:pPr>
      <w:tabs>
        <w:tab w:val="center" w:pos="4680"/>
        <w:tab w:val="right" w:pos="9360"/>
      </w:tabs>
    </w:pPr>
  </w:style>
  <w:style w:type="character" w:customStyle="1" w:styleId="FooterChar">
    <w:name w:val="Footer Char"/>
    <w:basedOn w:val="DefaultParagraphFont"/>
    <w:link w:val="Footer"/>
    <w:uiPriority w:val="99"/>
    <w:rsid w:val="003B327A"/>
  </w:style>
  <w:style w:type="character" w:customStyle="1" w:styleId="Heading1Char">
    <w:name w:val="Heading 1 Char"/>
    <w:basedOn w:val="DefaultParagraphFont"/>
    <w:link w:val="Heading1"/>
    <w:uiPriority w:val="9"/>
    <w:rsid w:val="00436BD9"/>
    <w:rPr>
      <w:rFonts w:ascii="Century Gothic" w:eastAsiaTheme="majorEastAsia" w:hAnsi="Century Gothic" w:cs="Times New Roman (Headings CS)"/>
      <w:b/>
      <w:color w:val="1E376C"/>
      <w:sz w:val="48"/>
      <w:szCs w:val="32"/>
    </w:rPr>
  </w:style>
  <w:style w:type="paragraph" w:customStyle="1" w:styleId="ParagraphIntro">
    <w:name w:val="Paragraph Intro"/>
    <w:basedOn w:val="Normal"/>
    <w:next w:val="Normal"/>
    <w:qFormat/>
    <w:rsid w:val="00985B7F"/>
    <w:pPr>
      <w:spacing w:before="120" w:after="120" w:line="300" w:lineRule="auto"/>
    </w:pPr>
    <w:rPr>
      <w:rFonts w:cs="Arial"/>
      <w:b/>
      <w:bCs/>
      <w:sz w:val="24"/>
      <w:u w:val="single"/>
    </w:rPr>
  </w:style>
  <w:style w:type="paragraph" w:customStyle="1" w:styleId="ContactInfoUpperLeft">
    <w:name w:val="Contact Info (Upper Left)"/>
    <w:basedOn w:val="Normal"/>
    <w:autoRedefine/>
    <w:qFormat/>
    <w:rsid w:val="00AD4C46"/>
    <w:pPr>
      <w:pBdr>
        <w:left w:val="single" w:sz="4" w:space="12" w:color="auto"/>
      </w:pBdr>
      <w:ind w:right="480" w:firstLine="720"/>
    </w:pPr>
    <w:rPr>
      <w:b/>
      <w:sz w:val="20"/>
      <w:szCs w:val="20"/>
    </w:rPr>
  </w:style>
  <w:style w:type="paragraph" w:customStyle="1" w:styleId="FORIMMEDIATERELEASE">
    <w:name w:val="FOR IMMEDIATE RELEASE"/>
    <w:basedOn w:val="Normal"/>
    <w:qFormat/>
    <w:rsid w:val="00AD4C46"/>
    <w:pPr>
      <w:ind w:right="480" w:firstLine="720"/>
    </w:pPr>
    <w:rPr>
      <w:rFonts w:ascii="Century Gothic" w:hAnsi="Century Gothic"/>
      <w:b/>
      <w:sz w:val="26"/>
      <w:szCs w:val="26"/>
    </w:rPr>
  </w:style>
  <w:style w:type="paragraph" w:customStyle="1" w:styleId="Noted">
    <w:name w:val="Noted"/>
    <w:basedOn w:val="Normal"/>
    <w:qFormat/>
    <w:rsid w:val="00985B7F"/>
    <w:rPr>
      <w:sz w:val="16"/>
      <w:szCs w:val="20"/>
    </w:rPr>
  </w:style>
  <w:style w:type="character" w:styleId="PageNumber">
    <w:name w:val="page number"/>
    <w:basedOn w:val="DefaultParagraphFont"/>
    <w:uiPriority w:val="99"/>
    <w:semiHidden/>
    <w:unhideWhenUsed/>
    <w:rsid w:val="0010266B"/>
  </w:style>
  <w:style w:type="character" w:customStyle="1" w:styleId="NormalCalloutText">
    <w:name w:val="Normal Callout Text"/>
    <w:basedOn w:val="DefaultParagraphFont"/>
    <w:uiPriority w:val="1"/>
    <w:qFormat/>
    <w:rsid w:val="00436BD9"/>
    <w:rPr>
      <w:rFonts w:ascii="Century Gothic" w:hAnsi="Century Gothic"/>
      <w:b/>
      <w:bCs/>
      <w:i w:val="0"/>
      <w:color w:val="203058"/>
    </w:rPr>
  </w:style>
  <w:style w:type="paragraph" w:customStyle="1" w:styleId="Style1">
    <w:name w:val="Style1"/>
    <w:basedOn w:val="ListParagraph"/>
    <w:qFormat/>
    <w:rsid w:val="00F84C72"/>
    <w:pPr>
      <w:keepLines/>
      <w:numPr>
        <w:numId w:val="5"/>
      </w:numPr>
      <w:mirrorIndents/>
    </w:pPr>
  </w:style>
  <w:style w:type="paragraph" w:customStyle="1" w:styleId="Numbers">
    <w:name w:val="Numbers"/>
    <w:basedOn w:val="ListParagraph"/>
    <w:autoRedefine/>
    <w:qFormat/>
    <w:rsid w:val="00D00518"/>
    <w:pPr>
      <w:numPr>
        <w:numId w:val="7"/>
      </w:numPr>
      <w:spacing w:before="240" w:after="240" w:line="360" w:lineRule="auto"/>
    </w:pPr>
    <w:rPr>
      <w:b w:val="0"/>
    </w:rPr>
  </w:style>
  <w:style w:type="paragraph" w:customStyle="1" w:styleId="SectionCallout">
    <w:name w:val="Section Callout"/>
    <w:autoRedefine/>
    <w:qFormat/>
    <w:rsid w:val="00092126"/>
    <w:pPr>
      <w:keepNext/>
      <w:pBdr>
        <w:top w:val="single" w:sz="4" w:space="4" w:color="auto"/>
        <w:bottom w:val="single" w:sz="4" w:space="3" w:color="auto"/>
      </w:pBdr>
      <w:suppressAutoHyphens/>
      <w:spacing w:after="0" w:line="240" w:lineRule="auto"/>
      <w:jc w:val="center"/>
    </w:pPr>
    <w:rPr>
      <w:rFonts w:ascii="Century Gothic" w:hAnsi="Century Gothic"/>
      <w:b/>
      <w:sz w:val="28"/>
      <w:szCs w:val="28"/>
    </w:rPr>
  </w:style>
  <w:style w:type="numbering" w:customStyle="1" w:styleId="CurrentList1">
    <w:name w:val="Current List1"/>
    <w:uiPriority w:val="99"/>
    <w:rsid w:val="00F84C72"/>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2959">
      <w:bodyDiv w:val="1"/>
      <w:marLeft w:val="0"/>
      <w:marRight w:val="0"/>
      <w:marTop w:val="0"/>
      <w:marBottom w:val="0"/>
      <w:divBdr>
        <w:top w:val="none" w:sz="0" w:space="0" w:color="auto"/>
        <w:left w:val="none" w:sz="0" w:space="0" w:color="auto"/>
        <w:bottom w:val="none" w:sz="0" w:space="0" w:color="auto"/>
        <w:right w:val="none" w:sz="0" w:space="0" w:color="auto"/>
      </w:divBdr>
    </w:div>
    <w:div w:id="338898304">
      <w:bodyDiv w:val="1"/>
      <w:marLeft w:val="0"/>
      <w:marRight w:val="0"/>
      <w:marTop w:val="0"/>
      <w:marBottom w:val="0"/>
      <w:divBdr>
        <w:top w:val="none" w:sz="0" w:space="0" w:color="auto"/>
        <w:left w:val="none" w:sz="0" w:space="0" w:color="auto"/>
        <w:bottom w:val="none" w:sz="0" w:space="0" w:color="auto"/>
        <w:right w:val="none" w:sz="0" w:space="0" w:color="auto"/>
      </w:divBdr>
    </w:div>
    <w:div w:id="519974862">
      <w:bodyDiv w:val="1"/>
      <w:marLeft w:val="0"/>
      <w:marRight w:val="0"/>
      <w:marTop w:val="0"/>
      <w:marBottom w:val="0"/>
      <w:divBdr>
        <w:top w:val="none" w:sz="0" w:space="0" w:color="auto"/>
        <w:left w:val="none" w:sz="0" w:space="0" w:color="auto"/>
        <w:bottom w:val="none" w:sz="0" w:space="0" w:color="auto"/>
        <w:right w:val="none" w:sz="0" w:space="0" w:color="auto"/>
      </w:divBdr>
    </w:div>
    <w:div w:id="809322476">
      <w:bodyDiv w:val="1"/>
      <w:marLeft w:val="0"/>
      <w:marRight w:val="0"/>
      <w:marTop w:val="0"/>
      <w:marBottom w:val="0"/>
      <w:divBdr>
        <w:top w:val="none" w:sz="0" w:space="0" w:color="auto"/>
        <w:left w:val="none" w:sz="0" w:space="0" w:color="auto"/>
        <w:bottom w:val="none" w:sz="0" w:space="0" w:color="auto"/>
        <w:right w:val="none" w:sz="0" w:space="0" w:color="auto"/>
      </w:divBdr>
    </w:div>
    <w:div w:id="859507291">
      <w:bodyDiv w:val="1"/>
      <w:marLeft w:val="0"/>
      <w:marRight w:val="0"/>
      <w:marTop w:val="0"/>
      <w:marBottom w:val="0"/>
      <w:divBdr>
        <w:top w:val="none" w:sz="0" w:space="0" w:color="auto"/>
        <w:left w:val="none" w:sz="0" w:space="0" w:color="auto"/>
        <w:bottom w:val="none" w:sz="0" w:space="0" w:color="auto"/>
        <w:right w:val="none" w:sz="0" w:space="0" w:color="auto"/>
      </w:divBdr>
    </w:div>
    <w:div w:id="984774028">
      <w:bodyDiv w:val="1"/>
      <w:marLeft w:val="0"/>
      <w:marRight w:val="0"/>
      <w:marTop w:val="0"/>
      <w:marBottom w:val="0"/>
      <w:divBdr>
        <w:top w:val="none" w:sz="0" w:space="0" w:color="auto"/>
        <w:left w:val="none" w:sz="0" w:space="0" w:color="auto"/>
        <w:bottom w:val="none" w:sz="0" w:space="0" w:color="auto"/>
        <w:right w:val="none" w:sz="0" w:space="0" w:color="auto"/>
      </w:divBdr>
    </w:div>
    <w:div w:id="1262571844">
      <w:bodyDiv w:val="1"/>
      <w:marLeft w:val="0"/>
      <w:marRight w:val="0"/>
      <w:marTop w:val="0"/>
      <w:marBottom w:val="0"/>
      <w:divBdr>
        <w:top w:val="none" w:sz="0" w:space="0" w:color="auto"/>
        <w:left w:val="none" w:sz="0" w:space="0" w:color="auto"/>
        <w:bottom w:val="none" w:sz="0" w:space="0" w:color="auto"/>
        <w:right w:val="none" w:sz="0" w:space="0" w:color="auto"/>
      </w:divBdr>
    </w:div>
    <w:div w:id="1414355857">
      <w:bodyDiv w:val="1"/>
      <w:marLeft w:val="0"/>
      <w:marRight w:val="0"/>
      <w:marTop w:val="0"/>
      <w:marBottom w:val="0"/>
      <w:divBdr>
        <w:top w:val="none" w:sz="0" w:space="0" w:color="auto"/>
        <w:left w:val="none" w:sz="0" w:space="0" w:color="auto"/>
        <w:bottom w:val="none" w:sz="0" w:space="0" w:color="auto"/>
        <w:right w:val="none" w:sz="0" w:space="0" w:color="auto"/>
      </w:divBdr>
    </w:div>
    <w:div w:id="1445222968">
      <w:bodyDiv w:val="1"/>
      <w:marLeft w:val="0"/>
      <w:marRight w:val="0"/>
      <w:marTop w:val="0"/>
      <w:marBottom w:val="0"/>
      <w:divBdr>
        <w:top w:val="none" w:sz="0" w:space="0" w:color="auto"/>
        <w:left w:val="none" w:sz="0" w:space="0" w:color="auto"/>
        <w:bottom w:val="none" w:sz="0" w:space="0" w:color="auto"/>
        <w:right w:val="none" w:sz="0" w:space="0" w:color="auto"/>
      </w:divBdr>
    </w:div>
    <w:div w:id="1631017263">
      <w:bodyDiv w:val="1"/>
      <w:marLeft w:val="0"/>
      <w:marRight w:val="0"/>
      <w:marTop w:val="0"/>
      <w:marBottom w:val="0"/>
      <w:divBdr>
        <w:top w:val="none" w:sz="0" w:space="0" w:color="auto"/>
        <w:left w:val="none" w:sz="0" w:space="0" w:color="auto"/>
        <w:bottom w:val="none" w:sz="0" w:space="0" w:color="auto"/>
        <w:right w:val="none" w:sz="0" w:space="0" w:color="auto"/>
      </w:divBdr>
    </w:div>
    <w:div w:id="1666938611">
      <w:bodyDiv w:val="1"/>
      <w:marLeft w:val="0"/>
      <w:marRight w:val="0"/>
      <w:marTop w:val="0"/>
      <w:marBottom w:val="0"/>
      <w:divBdr>
        <w:top w:val="none" w:sz="0" w:space="0" w:color="auto"/>
        <w:left w:val="none" w:sz="0" w:space="0" w:color="auto"/>
        <w:bottom w:val="none" w:sz="0" w:space="0" w:color="auto"/>
        <w:right w:val="none" w:sz="0" w:space="0" w:color="auto"/>
      </w:divBdr>
    </w:div>
    <w:div w:id="1719818471">
      <w:bodyDiv w:val="1"/>
      <w:marLeft w:val="0"/>
      <w:marRight w:val="0"/>
      <w:marTop w:val="0"/>
      <w:marBottom w:val="0"/>
      <w:divBdr>
        <w:top w:val="none" w:sz="0" w:space="0" w:color="auto"/>
        <w:left w:val="none" w:sz="0" w:space="0" w:color="auto"/>
        <w:bottom w:val="none" w:sz="0" w:space="0" w:color="auto"/>
        <w:right w:val="none" w:sz="0" w:space="0" w:color="auto"/>
      </w:divBdr>
    </w:div>
    <w:div w:id="2031178944">
      <w:bodyDiv w:val="1"/>
      <w:marLeft w:val="0"/>
      <w:marRight w:val="0"/>
      <w:marTop w:val="0"/>
      <w:marBottom w:val="0"/>
      <w:divBdr>
        <w:top w:val="none" w:sz="0" w:space="0" w:color="auto"/>
        <w:left w:val="none" w:sz="0" w:space="0" w:color="auto"/>
        <w:bottom w:val="none" w:sz="0" w:space="0" w:color="auto"/>
        <w:right w:val="none" w:sz="0" w:space="0" w:color="auto"/>
      </w:divBdr>
    </w:div>
    <w:div w:id="2109352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ke@gmar." TargetMode="External"/><Relationship Id="rId13" Type="http://schemas.openxmlformats.org/officeDocument/2006/relationships/chart" Target="charts/chart4.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mike@gmar." TargetMode="External"/><Relationship Id="rId14" Type="http://schemas.openxmlformats.org/officeDocument/2006/relationships/chart" Target="charts/chart5.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mike\Dropbox\GMAR\030%20-%20MLS%20Statistical%20History.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ike\Dropbox\GMAR\030%20-%20MLS%20Statistical%20History.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ike\Dropbox\GMAR\030%20-%20MLS%20Statistical%20History.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ike\Dropbox\GMAR\030%20-%20MLS%20Statistical%20History.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mike\Dropbox\GMAR\030%20-%20MLS%20Statistical%20History.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Palatino Linotype" panose="02040502050505030304" pitchFamily="18" charset="0"/>
                <a:ea typeface="+mn-ea"/>
                <a:cs typeface="+mn-cs"/>
              </a:defRPr>
            </a:pPr>
            <a:r>
              <a:rPr lang="en-US">
                <a:solidFill>
                  <a:sysClr val="windowText" lastClr="000000"/>
                </a:solidFill>
                <a:latin typeface="Palatino Linotype" panose="02040502050505030304" pitchFamily="18" charset="0"/>
              </a:rPr>
              <a:t>Seasonally Adjusted Inventory</a:t>
            </a:r>
          </a:p>
          <a:p>
            <a:pPr>
              <a:defRPr>
                <a:solidFill>
                  <a:sysClr val="windowText" lastClr="000000"/>
                </a:solidFill>
                <a:latin typeface="Palatino Linotype" panose="02040502050505030304" pitchFamily="18" charset="0"/>
              </a:defRPr>
            </a:pPr>
            <a:r>
              <a:rPr lang="en-US" sz="900">
                <a:solidFill>
                  <a:sysClr val="windowText" lastClr="000000"/>
                </a:solidFill>
                <a:latin typeface="Palatino Linotype" panose="02040502050505030304" pitchFamily="18" charset="0"/>
              </a:rPr>
              <a:t>(units left</a:t>
            </a:r>
            <a:r>
              <a:rPr lang="en-US" sz="900" baseline="0">
                <a:solidFill>
                  <a:sysClr val="windowText" lastClr="000000"/>
                </a:solidFill>
                <a:latin typeface="Palatino Linotype" panose="02040502050505030304" pitchFamily="18" charset="0"/>
              </a:rPr>
              <a:t> side, months right side)</a:t>
            </a:r>
            <a:endParaRPr lang="en-US" sz="900">
              <a:solidFill>
                <a:sysClr val="windowText" lastClr="000000"/>
              </a:solidFill>
              <a:latin typeface="Palatino Linotype" panose="02040502050505030304" pitchFamily="18" charset="0"/>
            </a:endParaRPr>
          </a:p>
        </c:rich>
      </c:tx>
      <c:layout>
        <c:manualLayout>
          <c:xMode val="edge"/>
          <c:yMode val="edge"/>
          <c:x val="0.28708296879556716"/>
          <c:y val="1.6123609548806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Palatino Linotype" panose="02040502050505030304" pitchFamily="18" charset="0"/>
              <a:ea typeface="+mn-ea"/>
              <a:cs typeface="+mn-cs"/>
            </a:defRPr>
          </a:pPr>
          <a:endParaRPr lang="en-US"/>
        </a:p>
      </c:txPr>
    </c:title>
    <c:autoTitleDeleted val="0"/>
    <c:plotArea>
      <c:layout>
        <c:manualLayout>
          <c:layoutTarget val="inner"/>
          <c:xMode val="edge"/>
          <c:yMode val="edge"/>
          <c:x val="9.8977998681911913E-2"/>
          <c:y val="0.14728474319091048"/>
          <c:w val="0.83530976540300172"/>
          <c:h val="0.61226301362071822"/>
        </c:manualLayout>
      </c:layout>
      <c:areaChart>
        <c:grouping val="stacked"/>
        <c:varyColors val="0"/>
        <c:ser>
          <c:idx val="0"/>
          <c:order val="0"/>
          <c:tx>
            <c:strRef>
              <c:f>'Monthly Stats Data'!$A$137</c:f>
              <c:strCache>
                <c:ptCount val="1"/>
                <c:pt idx="0">
                  <c:v>Current Active</c:v>
                </c:pt>
              </c:strCache>
            </c:strRef>
          </c:tx>
          <c:spPr>
            <a:solidFill>
              <a:srgbClr val="8497B0"/>
            </a:solidFill>
            <a:ln>
              <a:noFill/>
            </a:ln>
            <a:effectLst/>
          </c:spPr>
          <c:cat>
            <c:strRef>
              <c:f>'Monthly Stats Data'!$B$135:$M$135</c:f>
              <c:strCache>
                <c:ptCount val="12"/>
                <c:pt idx="0">
                  <c:v>Jan</c:v>
                </c:pt>
                <c:pt idx="1">
                  <c:v>Feb</c:v>
                </c:pt>
                <c:pt idx="2">
                  <c:v>Mar</c:v>
                </c:pt>
                <c:pt idx="3">
                  <c:v>April</c:v>
                </c:pt>
                <c:pt idx="4">
                  <c:v>May</c:v>
                </c:pt>
                <c:pt idx="5">
                  <c:v>Jun</c:v>
                </c:pt>
                <c:pt idx="6">
                  <c:v>Jul</c:v>
                </c:pt>
                <c:pt idx="7">
                  <c:v>Aug</c:v>
                </c:pt>
                <c:pt idx="8">
                  <c:v>Sept</c:v>
                </c:pt>
                <c:pt idx="9">
                  <c:v>Oct</c:v>
                </c:pt>
                <c:pt idx="10">
                  <c:v>Nov</c:v>
                </c:pt>
                <c:pt idx="11">
                  <c:v>Dec</c:v>
                </c:pt>
              </c:strCache>
            </c:strRef>
          </c:cat>
          <c:val>
            <c:numRef>
              <c:f>'Monthly Stats Data'!$B$137:$M$137</c:f>
              <c:numCache>
                <c:formatCode>_(* #,##0_);_(* \(#,##0\);_(* "-"??_);_(@_)</c:formatCode>
                <c:ptCount val="12"/>
                <c:pt idx="0">
                  <c:v>2200</c:v>
                </c:pt>
                <c:pt idx="1">
                  <c:v>1995</c:v>
                </c:pt>
                <c:pt idx="2">
                  <c:v>2119</c:v>
                </c:pt>
                <c:pt idx="3">
                  <c:v>2012</c:v>
                </c:pt>
                <c:pt idx="4">
                  <c:v>2518</c:v>
                </c:pt>
                <c:pt idx="5">
                  <c:v>2920</c:v>
                </c:pt>
                <c:pt idx="6">
                  <c:v>2850</c:v>
                </c:pt>
                <c:pt idx="7">
                  <c:v>3190</c:v>
                </c:pt>
                <c:pt idx="8">
                  <c:v>3374</c:v>
                </c:pt>
                <c:pt idx="9">
                  <c:v>3373</c:v>
                </c:pt>
                <c:pt idx="10">
                  <c:v>3024</c:v>
                </c:pt>
                <c:pt idx="11">
                  <c:v>2485</c:v>
                </c:pt>
              </c:numCache>
            </c:numRef>
          </c:val>
          <c:extLst>
            <c:ext xmlns:c16="http://schemas.microsoft.com/office/drawing/2014/chart" uri="{C3380CC4-5D6E-409C-BE32-E72D297353CC}">
              <c16:uniqueId val="{00000000-03F3-4A50-96B6-CE3B9DA0B414}"/>
            </c:ext>
          </c:extLst>
        </c:ser>
        <c:ser>
          <c:idx val="1"/>
          <c:order val="2"/>
          <c:tx>
            <c:strRef>
              <c:f>'Monthly Stats Data'!$A$138</c:f>
              <c:strCache>
                <c:ptCount val="1"/>
                <c:pt idx="0">
                  <c:v>Active With Offer</c:v>
                </c:pt>
              </c:strCache>
            </c:strRef>
          </c:tx>
          <c:spPr>
            <a:solidFill>
              <a:srgbClr val="1F4E79"/>
            </a:solidFill>
            <a:ln>
              <a:noFill/>
            </a:ln>
            <a:effectLst/>
          </c:spPr>
          <c:cat>
            <c:strRef>
              <c:f>'Monthly Stats Data'!$B$135:$M$135</c:f>
              <c:strCache>
                <c:ptCount val="12"/>
                <c:pt idx="0">
                  <c:v>Jan</c:v>
                </c:pt>
                <c:pt idx="1">
                  <c:v>Feb</c:v>
                </c:pt>
                <c:pt idx="2">
                  <c:v>Mar</c:v>
                </c:pt>
                <c:pt idx="3">
                  <c:v>April</c:v>
                </c:pt>
                <c:pt idx="4">
                  <c:v>May</c:v>
                </c:pt>
                <c:pt idx="5">
                  <c:v>Jun</c:v>
                </c:pt>
                <c:pt idx="6">
                  <c:v>Jul</c:v>
                </c:pt>
                <c:pt idx="7">
                  <c:v>Aug</c:v>
                </c:pt>
                <c:pt idx="8">
                  <c:v>Sept</c:v>
                </c:pt>
                <c:pt idx="9">
                  <c:v>Oct</c:v>
                </c:pt>
                <c:pt idx="10">
                  <c:v>Nov</c:v>
                </c:pt>
                <c:pt idx="11">
                  <c:v>Dec</c:v>
                </c:pt>
              </c:strCache>
            </c:strRef>
          </c:cat>
          <c:val>
            <c:numRef>
              <c:f>'Monthly Stats Data'!$B$138:$M$138</c:f>
              <c:numCache>
                <c:formatCode>_(* #,##0_);_(* \(#,##0\);_(* "-"??_);_(@_)</c:formatCode>
                <c:ptCount val="12"/>
                <c:pt idx="0">
                  <c:v>1027</c:v>
                </c:pt>
                <c:pt idx="1">
                  <c:v>1177</c:v>
                </c:pt>
                <c:pt idx="2">
                  <c:v>1392</c:v>
                </c:pt>
                <c:pt idx="3">
                  <c:v>1737</c:v>
                </c:pt>
                <c:pt idx="4">
                  <c:v>1762</c:v>
                </c:pt>
                <c:pt idx="5">
                  <c:v>1523</c:v>
                </c:pt>
                <c:pt idx="6">
                  <c:v>1586</c:v>
                </c:pt>
                <c:pt idx="7" formatCode="#,##0">
                  <c:v>1422</c:v>
                </c:pt>
                <c:pt idx="8">
                  <c:v>1406</c:v>
                </c:pt>
                <c:pt idx="9">
                  <c:v>1395</c:v>
                </c:pt>
                <c:pt idx="10">
                  <c:v>1131</c:v>
                </c:pt>
                <c:pt idx="11">
                  <c:v>818</c:v>
                </c:pt>
              </c:numCache>
            </c:numRef>
          </c:val>
          <c:extLst>
            <c:ext xmlns:c16="http://schemas.microsoft.com/office/drawing/2014/chart" uri="{C3380CC4-5D6E-409C-BE32-E72D297353CC}">
              <c16:uniqueId val="{00000001-03F3-4A50-96B6-CE3B9DA0B414}"/>
            </c:ext>
          </c:extLst>
        </c:ser>
        <c:dLbls>
          <c:showLegendKey val="0"/>
          <c:showVal val="0"/>
          <c:showCatName val="0"/>
          <c:showSerName val="0"/>
          <c:showPercent val="0"/>
          <c:showBubbleSize val="0"/>
        </c:dLbls>
        <c:axId val="205910536"/>
        <c:axId val="458226432"/>
      </c:areaChart>
      <c:lineChart>
        <c:grouping val="standard"/>
        <c:varyColors val="0"/>
        <c:ser>
          <c:idx val="3"/>
          <c:order val="1"/>
          <c:tx>
            <c:strRef>
              <c:f>'Monthly Stats Data'!$A$139</c:f>
              <c:strCache>
                <c:ptCount val="1"/>
                <c:pt idx="0">
                  <c:v>Mos of Inventory</c:v>
                </c:pt>
              </c:strCache>
            </c:strRef>
          </c:tx>
          <c:spPr>
            <a:ln w="38100" cap="rnd">
              <a:solidFill>
                <a:schemeClr val="tx1">
                  <a:lumMod val="50000"/>
                  <a:lumOff val="50000"/>
                </a:schemeClr>
              </a:solidFill>
              <a:round/>
            </a:ln>
            <a:effectLst/>
          </c:spPr>
          <c:marker>
            <c:symbol val="none"/>
          </c:marker>
          <c:cat>
            <c:strRef>
              <c:f>'Monthly Stats Data'!$B$135:$M$135</c:f>
              <c:strCache>
                <c:ptCount val="12"/>
                <c:pt idx="0">
                  <c:v>Jan</c:v>
                </c:pt>
                <c:pt idx="1">
                  <c:v>Feb</c:v>
                </c:pt>
                <c:pt idx="2">
                  <c:v>Mar</c:v>
                </c:pt>
                <c:pt idx="3">
                  <c:v>April</c:v>
                </c:pt>
                <c:pt idx="4">
                  <c:v>May</c:v>
                </c:pt>
                <c:pt idx="5">
                  <c:v>Jun</c:v>
                </c:pt>
                <c:pt idx="6">
                  <c:v>Jul</c:v>
                </c:pt>
                <c:pt idx="7">
                  <c:v>Aug</c:v>
                </c:pt>
                <c:pt idx="8">
                  <c:v>Sept</c:v>
                </c:pt>
                <c:pt idx="9">
                  <c:v>Oct</c:v>
                </c:pt>
                <c:pt idx="10">
                  <c:v>Nov</c:v>
                </c:pt>
                <c:pt idx="11">
                  <c:v>Dec</c:v>
                </c:pt>
              </c:strCache>
            </c:strRef>
          </c:cat>
          <c:val>
            <c:numRef>
              <c:f>'Monthly Stats Data'!$B$139:$M$139</c:f>
              <c:numCache>
                <c:formatCode>_(* #,##0.0_);_(* \(#,##0.0\);_(* "-"??_);_(@_)</c:formatCode>
                <c:ptCount val="12"/>
                <c:pt idx="0">
                  <c:v>2.2999999999999998</c:v>
                </c:pt>
                <c:pt idx="1">
                  <c:v>2.2999999999999998</c:v>
                </c:pt>
                <c:pt idx="2">
                  <c:v>2.5</c:v>
                </c:pt>
                <c:pt idx="3">
                  <c:v>2.7</c:v>
                </c:pt>
                <c:pt idx="4">
                  <c:v>3.1</c:v>
                </c:pt>
                <c:pt idx="5">
                  <c:v>3.2</c:v>
                </c:pt>
                <c:pt idx="6">
                  <c:v>3.1</c:v>
                </c:pt>
                <c:pt idx="7">
                  <c:v>3.3</c:v>
                </c:pt>
                <c:pt idx="8">
                  <c:v>3.4</c:v>
                </c:pt>
                <c:pt idx="9">
                  <c:v>3.4</c:v>
                </c:pt>
                <c:pt idx="10">
                  <c:v>2.9</c:v>
                </c:pt>
                <c:pt idx="11">
                  <c:v>2.2999999999999998</c:v>
                </c:pt>
              </c:numCache>
            </c:numRef>
          </c:val>
          <c:smooth val="0"/>
          <c:extLst>
            <c:ext xmlns:c16="http://schemas.microsoft.com/office/drawing/2014/chart" uri="{C3380CC4-5D6E-409C-BE32-E72D297353CC}">
              <c16:uniqueId val="{00000002-03F3-4A50-96B6-CE3B9DA0B414}"/>
            </c:ext>
          </c:extLst>
        </c:ser>
        <c:ser>
          <c:idx val="2"/>
          <c:order val="3"/>
          <c:tx>
            <c:strRef>
              <c:f>'Monthly Stats Data'!$A$140</c:f>
              <c:strCache>
                <c:ptCount val="1"/>
                <c:pt idx="0">
                  <c:v>Net Mos of Inventory</c:v>
                </c:pt>
              </c:strCache>
            </c:strRef>
          </c:tx>
          <c:spPr>
            <a:ln w="38100" cap="rnd">
              <a:solidFill>
                <a:sysClr val="windowText" lastClr="000000"/>
              </a:solidFill>
              <a:round/>
            </a:ln>
            <a:effectLst/>
          </c:spPr>
          <c:marker>
            <c:symbol val="none"/>
          </c:marker>
          <c:cat>
            <c:strRef>
              <c:f>'Monthly Stats Data'!$B$135:$M$135</c:f>
              <c:strCache>
                <c:ptCount val="12"/>
                <c:pt idx="0">
                  <c:v>Jan</c:v>
                </c:pt>
                <c:pt idx="1">
                  <c:v>Feb</c:v>
                </c:pt>
                <c:pt idx="2">
                  <c:v>Mar</c:v>
                </c:pt>
                <c:pt idx="3">
                  <c:v>April</c:v>
                </c:pt>
                <c:pt idx="4">
                  <c:v>May</c:v>
                </c:pt>
                <c:pt idx="5">
                  <c:v>Jun</c:v>
                </c:pt>
                <c:pt idx="6">
                  <c:v>Jul</c:v>
                </c:pt>
                <c:pt idx="7">
                  <c:v>Aug</c:v>
                </c:pt>
                <c:pt idx="8">
                  <c:v>Sept</c:v>
                </c:pt>
                <c:pt idx="9">
                  <c:v>Oct</c:v>
                </c:pt>
                <c:pt idx="10">
                  <c:v>Nov</c:v>
                </c:pt>
                <c:pt idx="11">
                  <c:v>Dec</c:v>
                </c:pt>
              </c:strCache>
            </c:strRef>
          </c:cat>
          <c:val>
            <c:numRef>
              <c:f>'Monthly Stats Data'!$B$140:$M$140</c:f>
              <c:numCache>
                <c:formatCode>_(* #,##0.0_);_(* \(#,##0.0\);_(* "-"??_);_(@_)</c:formatCode>
                <c:ptCount val="12"/>
                <c:pt idx="0">
                  <c:v>1</c:v>
                </c:pt>
                <c:pt idx="1">
                  <c:v>1</c:v>
                </c:pt>
                <c:pt idx="2">
                  <c:v>1</c:v>
                </c:pt>
                <c:pt idx="3">
                  <c:v>1</c:v>
                </c:pt>
                <c:pt idx="4">
                  <c:v>1.2</c:v>
                </c:pt>
                <c:pt idx="5">
                  <c:v>1.4</c:v>
                </c:pt>
                <c:pt idx="6">
                  <c:v>1.5</c:v>
                </c:pt>
                <c:pt idx="7">
                  <c:v>1.6</c:v>
                </c:pt>
                <c:pt idx="8">
                  <c:v>1.8</c:v>
                </c:pt>
                <c:pt idx="9">
                  <c:v>1.7</c:v>
                </c:pt>
                <c:pt idx="10">
                  <c:v>1.4</c:v>
                </c:pt>
                <c:pt idx="11" formatCode="_(* #,##0_);_(* \(#,##0\);_(* &quot;-&quot;??_);_(@_)">
                  <c:v>1.2</c:v>
                </c:pt>
              </c:numCache>
            </c:numRef>
          </c:val>
          <c:smooth val="0"/>
          <c:extLst>
            <c:ext xmlns:c16="http://schemas.microsoft.com/office/drawing/2014/chart" uri="{C3380CC4-5D6E-409C-BE32-E72D297353CC}">
              <c16:uniqueId val="{00000003-03F3-4A50-96B6-CE3B9DA0B414}"/>
            </c:ext>
          </c:extLst>
        </c:ser>
        <c:dLbls>
          <c:showLegendKey val="0"/>
          <c:showVal val="0"/>
          <c:showCatName val="0"/>
          <c:showSerName val="0"/>
          <c:showPercent val="0"/>
          <c:showBubbleSize val="0"/>
        </c:dLbls>
        <c:marker val="1"/>
        <c:smooth val="0"/>
        <c:axId val="458226824"/>
        <c:axId val="458229176"/>
      </c:lineChart>
      <c:catAx>
        <c:axId val="205910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n-US"/>
          </a:p>
        </c:txPr>
        <c:crossAx val="458226432"/>
        <c:crosses val="autoZero"/>
        <c:auto val="1"/>
        <c:lblAlgn val="ctr"/>
        <c:lblOffset val="100"/>
        <c:noMultiLvlLbl val="0"/>
      </c:catAx>
      <c:valAx>
        <c:axId val="458226432"/>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n-US"/>
          </a:p>
        </c:txPr>
        <c:crossAx val="205910536"/>
        <c:crosses val="autoZero"/>
        <c:crossBetween val="between"/>
      </c:valAx>
      <c:valAx>
        <c:axId val="458229176"/>
        <c:scaling>
          <c:orientation val="minMax"/>
        </c:scaling>
        <c:delete val="0"/>
        <c:axPos val="r"/>
        <c:numFmt formatCode="_(* #,##0.0_);_(* \(#,##0.0\);_(* &quot;-&quot;??_);_(@_)"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n-US"/>
          </a:p>
        </c:txPr>
        <c:crossAx val="458226824"/>
        <c:crosses val="max"/>
        <c:crossBetween val="between"/>
      </c:valAx>
      <c:catAx>
        <c:axId val="458226824"/>
        <c:scaling>
          <c:orientation val="minMax"/>
        </c:scaling>
        <c:delete val="1"/>
        <c:axPos val="b"/>
        <c:numFmt formatCode="General" sourceLinked="1"/>
        <c:majorTickMark val="out"/>
        <c:minorTickMark val="none"/>
        <c:tickLblPos val="nextTo"/>
        <c:crossAx val="458229176"/>
        <c:crosses val="autoZero"/>
        <c:auto val="1"/>
        <c:lblAlgn val="ctr"/>
        <c:lblOffset val="100"/>
        <c:noMultiLvlLbl val="0"/>
      </c:catAx>
      <c:spPr>
        <a:noFill/>
        <a:ln>
          <a:solidFill>
            <a:schemeClr val="tx2">
              <a:lumMod val="60000"/>
              <a:lumOff val="40000"/>
            </a:schemeClr>
          </a:solidFill>
        </a:ln>
        <a:effectLst/>
      </c:spPr>
    </c:plotArea>
    <c:legend>
      <c:legendPos val="b"/>
      <c:layout>
        <c:manualLayout>
          <c:xMode val="edge"/>
          <c:yMode val="edge"/>
          <c:x val="0.18657407407407409"/>
          <c:y val="0.85658448943882004"/>
          <c:w val="0.61759259259259258"/>
          <c:h val="0.12456638232720908"/>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Century Gothic" panose="020B0502020202020204" pitchFamily="34" charset="0"/>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baseline="0">
          <a:latin typeface="Calibri" panose="020F0502020204030204" pitchFamily="34" charset="0"/>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Palatino Linotype" panose="02040502050505030304" pitchFamily="18" charset="0"/>
                <a:ea typeface="+mn-ea"/>
                <a:cs typeface="+mn-cs"/>
              </a:defRPr>
            </a:pPr>
            <a:r>
              <a:rPr lang="en-US">
                <a:solidFill>
                  <a:sysClr val="windowText" lastClr="000000"/>
                </a:solidFill>
                <a:latin typeface="Palatino Linotype" panose="02040502050505030304" pitchFamily="18" charset="0"/>
              </a:rPr>
              <a:t>New Units Needed To Reach 6.0 Months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Palatino Linotype" panose="02040502050505030304" pitchFamily="18" charset="0"/>
              <a:ea typeface="+mn-ea"/>
              <a:cs typeface="+mn-cs"/>
            </a:defRPr>
          </a:pPr>
          <a:endParaRPr lang="en-US"/>
        </a:p>
      </c:txPr>
    </c:title>
    <c:autoTitleDeleted val="0"/>
    <c:plotArea>
      <c:layout/>
      <c:barChart>
        <c:barDir val="col"/>
        <c:grouping val="stacked"/>
        <c:varyColors val="0"/>
        <c:ser>
          <c:idx val="0"/>
          <c:order val="0"/>
          <c:tx>
            <c:strRef>
              <c:f>'Monthly Stats Data'!$Q$137</c:f>
              <c:strCache>
                <c:ptCount val="1"/>
                <c:pt idx="0">
                  <c:v>Listings</c:v>
                </c:pt>
              </c:strCache>
            </c:strRef>
          </c:tx>
          <c:spPr>
            <a:solidFill>
              <a:srgbClr val="1F4E79"/>
            </a:solidFill>
            <a:ln>
              <a:noFill/>
            </a:ln>
            <a:effectLst/>
          </c:spPr>
          <c:invertIfNegative val="0"/>
          <c:dLbls>
            <c:spPr>
              <a:noFill/>
              <a:ln>
                <a:noFill/>
              </a:ln>
              <a:effectLst/>
            </c:spPr>
            <c:txPr>
              <a:bodyPr rot="-5400000" spcFirstLastPara="1" vertOverflow="overflow" horzOverflow="overflow" vert="horz" wrap="square" lIns="38100" tIns="0" rIns="38100" bIns="19050" anchor="ctr" anchorCtr="1">
                <a:spAutoFit/>
              </a:bodyPr>
              <a:lstStyle/>
              <a:p>
                <a:pPr>
                  <a:defRPr sz="1100" b="0" i="0" u="none" strike="noStrike" kern="1200" baseline="0">
                    <a:solidFill>
                      <a:schemeClr val="bg1"/>
                    </a:solidFill>
                    <a:latin typeface="Palatino Linotype" panose="02040502050505030304" pitchFamily="18" charset="0"/>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'Monthly Stats Data'!$P$162:$P$173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'Monthly Stats Data'!$Q$162:$Q$173</c:f>
              <c:numCache>
                <c:formatCode>_(* #,##0_);_(* \(#,##0\);_(* "-"??_);_(@_)</c:formatCode>
                <c:ptCount val="12"/>
                <c:pt idx="0">
                  <c:v>3227</c:v>
                </c:pt>
                <c:pt idx="1">
                  <c:v>3172</c:v>
                </c:pt>
                <c:pt idx="2">
                  <c:v>3511</c:v>
                </c:pt>
                <c:pt idx="3">
                  <c:v>3749</c:v>
                </c:pt>
                <c:pt idx="4">
                  <c:v>4280</c:v>
                </c:pt>
                <c:pt idx="5">
                  <c:v>4443</c:v>
                </c:pt>
                <c:pt idx="6">
                  <c:v>4436</c:v>
                </c:pt>
                <c:pt idx="7">
                  <c:v>4612</c:v>
                </c:pt>
                <c:pt idx="8">
                  <c:v>4780</c:v>
                </c:pt>
                <c:pt idx="9">
                  <c:v>4768</c:v>
                </c:pt>
                <c:pt idx="10">
                  <c:v>4155</c:v>
                </c:pt>
                <c:pt idx="11">
                  <c:v>3303</c:v>
                </c:pt>
              </c:numCache>
            </c:numRef>
          </c:val>
          <c:extLst>
            <c:ext xmlns:c16="http://schemas.microsoft.com/office/drawing/2014/chart" uri="{C3380CC4-5D6E-409C-BE32-E72D297353CC}">
              <c16:uniqueId val="{00000000-E921-4AD0-81A8-34DC2C239711}"/>
            </c:ext>
          </c:extLst>
        </c:ser>
        <c:ser>
          <c:idx val="3"/>
          <c:order val="1"/>
          <c:tx>
            <c:strRef>
              <c:f>'Monthly Stats Data'!$T$136:$T$137</c:f>
              <c:strCache>
                <c:ptCount val="2"/>
                <c:pt idx="0">
                  <c:v>Extra Listings</c:v>
                </c:pt>
                <c:pt idx="1">
                  <c:v>Needed</c:v>
                </c:pt>
              </c:strCache>
            </c:strRef>
          </c:tx>
          <c:spPr>
            <a:solidFill>
              <a:srgbClr val="8497B0"/>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1100" b="0" i="0" u="none" strike="noStrike" kern="1200" baseline="0">
                    <a:solidFill>
                      <a:schemeClr val="bg1"/>
                    </a:solidFill>
                    <a:latin typeface="Palatino Linotype" panose="020405020505050303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'Monthly Stats Data'!$P$162:$P$173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'Monthly Stats Data'!$T$162:$T$173</c:f>
              <c:numCache>
                <c:formatCode>_(* #,##0_);_(* \(#,##0\);_(* "-"??_);_(@_)</c:formatCode>
                <c:ptCount val="12"/>
                <c:pt idx="0">
                  <c:v>5175</c:v>
                </c:pt>
                <c:pt idx="1">
                  <c:v>5265</c:v>
                </c:pt>
                <c:pt idx="2">
                  <c:v>4905</c:v>
                </c:pt>
                <c:pt idx="3">
                  <c:v>4635</c:v>
                </c:pt>
                <c:pt idx="4">
                  <c:v>4075</c:v>
                </c:pt>
                <c:pt idx="5">
                  <c:v>3910</c:v>
                </c:pt>
                <c:pt idx="6">
                  <c:v>4020</c:v>
                </c:pt>
                <c:pt idx="7">
                  <c:v>3840</c:v>
                </c:pt>
                <c:pt idx="8">
                  <c:v>3675</c:v>
                </c:pt>
                <c:pt idx="9">
                  <c:v>3730</c:v>
                </c:pt>
                <c:pt idx="10">
                  <c:v>4360</c:v>
                </c:pt>
                <c:pt idx="11">
                  <c:v>5150</c:v>
                </c:pt>
              </c:numCache>
            </c:numRef>
          </c:val>
          <c:extLst>
            <c:ext xmlns:c16="http://schemas.microsoft.com/office/drawing/2014/chart" uri="{C3380CC4-5D6E-409C-BE32-E72D297353CC}">
              <c16:uniqueId val="{00000001-E921-4AD0-81A8-34DC2C239711}"/>
            </c:ext>
          </c:extLst>
        </c:ser>
        <c:dLbls>
          <c:showLegendKey val="0"/>
          <c:showVal val="0"/>
          <c:showCatName val="0"/>
          <c:showSerName val="0"/>
          <c:showPercent val="0"/>
          <c:showBubbleSize val="0"/>
        </c:dLbls>
        <c:gapWidth val="65"/>
        <c:overlap val="100"/>
        <c:axId val="1251891632"/>
        <c:axId val="1254153232"/>
      </c:barChart>
      <c:catAx>
        <c:axId val="1251891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n-US"/>
          </a:p>
        </c:txPr>
        <c:crossAx val="1254153232"/>
        <c:crosses val="autoZero"/>
        <c:auto val="1"/>
        <c:lblAlgn val="ctr"/>
        <c:lblOffset val="100"/>
        <c:noMultiLvlLbl val="0"/>
      </c:catAx>
      <c:valAx>
        <c:axId val="1254153232"/>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n-US"/>
          </a:p>
        </c:txPr>
        <c:crossAx val="1251891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Historic 4 County Listings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rgbClr val="1F4E79"/>
            </a:solidFill>
            <a:ln>
              <a:noFill/>
            </a:ln>
            <a:effectLst/>
          </c:spPr>
          <c:invertIfNegative val="0"/>
          <c:dPt>
            <c:idx val="15"/>
            <c:invertIfNegative val="0"/>
            <c:bubble3D val="0"/>
            <c:extLst>
              <c:ext xmlns:c16="http://schemas.microsoft.com/office/drawing/2014/chart" uri="{C3380CC4-5D6E-409C-BE32-E72D297353CC}">
                <c16:uniqueId val="{00000000-B36C-45FC-82F3-889867ACD3C9}"/>
              </c:ext>
            </c:extLst>
          </c:dPt>
          <c:dPt>
            <c:idx val="16"/>
            <c:invertIfNegative val="0"/>
            <c:bubble3D val="0"/>
            <c:extLst>
              <c:ext xmlns:c16="http://schemas.microsoft.com/office/drawing/2014/chart" uri="{C3380CC4-5D6E-409C-BE32-E72D297353CC}">
                <c16:uniqueId val="{00000001-B36C-45FC-82F3-889867ACD3C9}"/>
              </c:ext>
            </c:extLst>
          </c:dPt>
          <c:dPt>
            <c:idx val="17"/>
            <c:invertIfNegative val="0"/>
            <c:bubble3D val="0"/>
            <c:extLst>
              <c:ext xmlns:c16="http://schemas.microsoft.com/office/drawing/2014/chart" uri="{C3380CC4-5D6E-409C-BE32-E72D297353CC}">
                <c16:uniqueId val="{00000002-B36C-45FC-82F3-889867ACD3C9}"/>
              </c:ext>
            </c:extLst>
          </c:dPt>
          <c:dPt>
            <c:idx val="18"/>
            <c:invertIfNegative val="0"/>
            <c:bubble3D val="0"/>
            <c:extLst>
              <c:ext xmlns:c16="http://schemas.microsoft.com/office/drawing/2014/chart" uri="{C3380CC4-5D6E-409C-BE32-E72D297353CC}">
                <c16:uniqueId val="{00000003-B36C-45FC-82F3-889867ACD3C9}"/>
              </c:ext>
            </c:extLst>
          </c:dPt>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'Monthly Stats Data'!$B$4:$AA$4</c:f>
              <c:strCache>
                <c:ptCount val="2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strCache>
            </c:strRef>
          </c:cat>
          <c:val>
            <c:numRef>
              <c:f>'Monthly Stats Data'!$B$20:$AA$20</c:f>
              <c:numCache>
                <c:formatCode>_(* #,##0_);_(* \(#,##0\);_(* "-"??_);_(@_)</c:formatCode>
                <c:ptCount val="26"/>
                <c:pt idx="0">
                  <c:v>22480</c:v>
                </c:pt>
                <c:pt idx="1">
                  <c:v>24777</c:v>
                </c:pt>
                <c:pt idx="2">
                  <c:v>24707</c:v>
                </c:pt>
                <c:pt idx="3">
                  <c:v>25518</c:v>
                </c:pt>
                <c:pt idx="4">
                  <c:v>28931</c:v>
                </c:pt>
                <c:pt idx="5">
                  <c:v>34932</c:v>
                </c:pt>
                <c:pt idx="6">
                  <c:v>39908</c:v>
                </c:pt>
                <c:pt idx="7">
                  <c:v>39731</c:v>
                </c:pt>
                <c:pt idx="8">
                  <c:v>34382</c:v>
                </c:pt>
                <c:pt idx="9">
                  <c:v>31560</c:v>
                </c:pt>
                <c:pt idx="10">
                  <c:v>30435</c:v>
                </c:pt>
                <c:pt idx="11">
                  <c:v>27334</c:v>
                </c:pt>
                <c:pt idx="12">
                  <c:v>26556</c:v>
                </c:pt>
                <c:pt idx="13">
                  <c:v>27028</c:v>
                </c:pt>
                <c:pt idx="14">
                  <c:v>28052</c:v>
                </c:pt>
                <c:pt idx="15">
                  <c:v>28181</c:v>
                </c:pt>
                <c:pt idx="16">
                  <c:v>27149</c:v>
                </c:pt>
                <c:pt idx="17">
                  <c:v>27491</c:v>
                </c:pt>
                <c:pt idx="18">
                  <c:v>26480</c:v>
                </c:pt>
                <c:pt idx="19">
                  <c:v>26629</c:v>
                </c:pt>
                <c:pt idx="20">
                  <c:v>26068</c:v>
                </c:pt>
                <c:pt idx="21">
                  <c:v>27637</c:v>
                </c:pt>
                <c:pt idx="22">
                  <c:v>23688</c:v>
                </c:pt>
                <c:pt idx="23">
                  <c:v>20331</c:v>
                </c:pt>
                <c:pt idx="24">
                  <c:v>21297</c:v>
                </c:pt>
                <c:pt idx="25">
                  <c:v>21942</c:v>
                </c:pt>
              </c:numCache>
            </c:numRef>
          </c:val>
          <c:extLst>
            <c:ext xmlns:c16="http://schemas.microsoft.com/office/drawing/2014/chart" uri="{C3380CC4-5D6E-409C-BE32-E72D297353CC}">
              <c16:uniqueId val="{00000004-B36C-45FC-82F3-889867ACD3C9}"/>
            </c:ext>
          </c:extLst>
        </c:ser>
        <c:dLbls>
          <c:dLblPos val="inEnd"/>
          <c:showLegendKey val="0"/>
          <c:showVal val="1"/>
          <c:showCatName val="0"/>
          <c:showSerName val="0"/>
          <c:showPercent val="0"/>
          <c:showBubbleSize val="0"/>
        </c:dLbls>
        <c:gapWidth val="50"/>
        <c:axId val="458228392"/>
        <c:axId val="458227608"/>
      </c:barChart>
      <c:catAx>
        <c:axId val="458228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227608"/>
        <c:crosses val="autoZero"/>
        <c:auto val="1"/>
        <c:lblAlgn val="ctr"/>
        <c:lblOffset val="100"/>
        <c:noMultiLvlLbl val="0"/>
      </c:catAx>
      <c:valAx>
        <c:axId val="458227608"/>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22839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Historic 4 County Sold Units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rgbClr val="1F4E79"/>
            </a:solidFill>
            <a:ln>
              <a:noFill/>
            </a:ln>
            <a:effectLst/>
          </c:spPr>
          <c:invertIfNegative val="0"/>
          <c:dPt>
            <c:idx val="15"/>
            <c:invertIfNegative val="0"/>
            <c:bubble3D val="0"/>
            <c:extLst>
              <c:ext xmlns:c16="http://schemas.microsoft.com/office/drawing/2014/chart" uri="{C3380CC4-5D6E-409C-BE32-E72D297353CC}">
                <c16:uniqueId val="{00000000-8268-4EA5-B6D4-75DA2C1744E1}"/>
              </c:ext>
            </c:extLst>
          </c:dPt>
          <c:dPt>
            <c:idx val="16"/>
            <c:invertIfNegative val="0"/>
            <c:bubble3D val="0"/>
            <c:extLst>
              <c:ext xmlns:c16="http://schemas.microsoft.com/office/drawing/2014/chart" uri="{C3380CC4-5D6E-409C-BE32-E72D297353CC}">
                <c16:uniqueId val="{00000001-8268-4EA5-B6D4-75DA2C1744E1}"/>
              </c:ext>
            </c:extLst>
          </c:dPt>
          <c:dPt>
            <c:idx val="17"/>
            <c:invertIfNegative val="0"/>
            <c:bubble3D val="0"/>
            <c:extLst>
              <c:ext xmlns:c16="http://schemas.microsoft.com/office/drawing/2014/chart" uri="{C3380CC4-5D6E-409C-BE32-E72D297353CC}">
                <c16:uniqueId val="{00000002-8268-4EA5-B6D4-75DA2C1744E1}"/>
              </c:ext>
            </c:extLst>
          </c:dPt>
          <c:dPt>
            <c:idx val="18"/>
            <c:invertIfNegative val="0"/>
            <c:bubble3D val="0"/>
            <c:extLst>
              <c:ext xmlns:c16="http://schemas.microsoft.com/office/drawing/2014/chart" uri="{C3380CC4-5D6E-409C-BE32-E72D297353CC}">
                <c16:uniqueId val="{00000003-8268-4EA5-B6D4-75DA2C1744E1}"/>
              </c:ext>
            </c:extLst>
          </c:dPt>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'Monthly Stats Data'!$B$24:$AA$24</c:f>
              <c:strCache>
                <c:ptCount val="26"/>
                <c:pt idx="0">
                  <c:v> 2000</c:v>
                </c:pt>
                <c:pt idx="1">
                  <c:v> 2001</c:v>
                </c:pt>
                <c:pt idx="2">
                  <c:v> 2002</c:v>
                </c:pt>
                <c:pt idx="3">
                  <c:v> 2003</c:v>
                </c:pt>
                <c:pt idx="4">
                  <c:v> 2004</c:v>
                </c:pt>
                <c:pt idx="5">
                  <c:v> 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strCache>
            </c:strRef>
          </c:cat>
          <c:val>
            <c:numRef>
              <c:f>'Monthly Stats Data'!$B$40:$AA$40</c:f>
              <c:numCache>
                <c:formatCode>_(* #,##0_);_(* \(#,##0\);_(* "-"??_);_(@_)</c:formatCode>
                <c:ptCount val="26"/>
                <c:pt idx="0">
                  <c:v>16310</c:v>
                </c:pt>
                <c:pt idx="1">
                  <c:v>17321</c:v>
                </c:pt>
                <c:pt idx="2">
                  <c:v>18479</c:v>
                </c:pt>
                <c:pt idx="3">
                  <c:v>19358</c:v>
                </c:pt>
                <c:pt idx="4">
                  <c:v>20427</c:v>
                </c:pt>
                <c:pt idx="5">
                  <c:v>21642</c:v>
                </c:pt>
                <c:pt idx="6">
                  <c:v>20071</c:v>
                </c:pt>
                <c:pt idx="7">
                  <c:v>17231</c:v>
                </c:pt>
                <c:pt idx="8">
                  <c:v>14119</c:v>
                </c:pt>
                <c:pt idx="9">
                  <c:v>14854</c:v>
                </c:pt>
                <c:pt idx="10">
                  <c:v>12865</c:v>
                </c:pt>
                <c:pt idx="11">
                  <c:v>13278</c:v>
                </c:pt>
                <c:pt idx="12">
                  <c:v>16579</c:v>
                </c:pt>
                <c:pt idx="13">
                  <c:v>18203</c:v>
                </c:pt>
                <c:pt idx="14">
                  <c:v>17749</c:v>
                </c:pt>
                <c:pt idx="15">
                  <c:v>19611</c:v>
                </c:pt>
                <c:pt idx="16" formatCode="#,##0">
                  <c:v>21007</c:v>
                </c:pt>
                <c:pt idx="17" formatCode="#,##0">
                  <c:v>21357</c:v>
                </c:pt>
                <c:pt idx="18" formatCode="#,##0">
                  <c:v>21060</c:v>
                </c:pt>
                <c:pt idx="19" formatCode="#,##0">
                  <c:v>21133</c:v>
                </c:pt>
                <c:pt idx="20" formatCode="#,##0">
                  <c:v>22445</c:v>
                </c:pt>
                <c:pt idx="21" formatCode="#,##0">
                  <c:v>23827</c:v>
                </c:pt>
                <c:pt idx="22" formatCode="#,##0">
                  <c:v>20368</c:v>
                </c:pt>
                <c:pt idx="23" formatCode="#,##0">
                  <c:v>16586</c:v>
                </c:pt>
                <c:pt idx="24" formatCode="#,##0">
                  <c:v>17058</c:v>
                </c:pt>
                <c:pt idx="25" formatCode="#,##0">
                  <c:v>17231</c:v>
                </c:pt>
              </c:numCache>
            </c:numRef>
          </c:val>
          <c:extLst>
            <c:ext xmlns:c16="http://schemas.microsoft.com/office/drawing/2014/chart" uri="{C3380CC4-5D6E-409C-BE32-E72D297353CC}">
              <c16:uniqueId val="{00000004-8268-4EA5-B6D4-75DA2C1744E1}"/>
            </c:ext>
          </c:extLst>
        </c:ser>
        <c:dLbls>
          <c:dLblPos val="inEnd"/>
          <c:showLegendKey val="0"/>
          <c:showVal val="1"/>
          <c:showCatName val="0"/>
          <c:showSerName val="0"/>
          <c:showPercent val="0"/>
          <c:showBubbleSize val="0"/>
        </c:dLbls>
        <c:gapWidth val="50"/>
        <c:axId val="458228000"/>
        <c:axId val="458226040"/>
      </c:barChart>
      <c:catAx>
        <c:axId val="458228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226040"/>
        <c:crosses val="autoZero"/>
        <c:auto val="1"/>
        <c:lblAlgn val="ctr"/>
        <c:lblOffset val="100"/>
        <c:noMultiLvlLbl val="0"/>
      </c:catAx>
      <c:valAx>
        <c:axId val="458226040"/>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2280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a:solidFill>
                  <a:sysClr val="windowText" lastClr="000000"/>
                </a:solidFill>
                <a:latin typeface="Palatino Linotype" panose="02040502050505030304" pitchFamily="18" charset="0"/>
              </a:rPr>
              <a:t>Historic</a:t>
            </a:r>
            <a:r>
              <a:rPr lang="en-US" baseline="0">
                <a:solidFill>
                  <a:sysClr val="windowText" lastClr="000000"/>
                </a:solidFill>
                <a:latin typeface="Palatino Linotype" panose="02040502050505030304" pitchFamily="18" charset="0"/>
              </a:rPr>
              <a:t> </a:t>
            </a:r>
            <a:r>
              <a:rPr lang="en-US">
                <a:solidFill>
                  <a:sysClr val="windowText" lastClr="000000"/>
                </a:solidFill>
                <a:latin typeface="Palatino Linotype" panose="02040502050505030304" pitchFamily="18" charset="0"/>
              </a:rPr>
              <a:t>4</a:t>
            </a:r>
            <a:r>
              <a:rPr lang="en-US" baseline="0">
                <a:solidFill>
                  <a:sysClr val="windowText" lastClr="000000"/>
                </a:solidFill>
                <a:latin typeface="Palatino Linotype" panose="02040502050505030304" pitchFamily="18" charset="0"/>
              </a:rPr>
              <a:t> County Sale Price</a:t>
            </a:r>
            <a:endParaRPr lang="en-US">
              <a:solidFill>
                <a:sysClr val="windowText" lastClr="000000"/>
              </a:solidFill>
              <a:latin typeface="Palatino Linotype" panose="0204050205050503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120490716283952"/>
          <c:y val="0.10996889277729173"/>
          <c:w val="0.86798035635349191"/>
          <c:h val="0.79211018761543706"/>
        </c:manualLayout>
      </c:layout>
      <c:barChart>
        <c:barDir val="col"/>
        <c:grouping val="clustered"/>
        <c:varyColors val="0"/>
        <c:ser>
          <c:idx val="1"/>
          <c:order val="0"/>
          <c:tx>
            <c:strRef>
              <c:f>'4th QTR County Data'!$E$164</c:f>
              <c:strCache>
                <c:ptCount val="1"/>
                <c:pt idx="0">
                  <c:v>Avg Sale Price</c:v>
                </c:pt>
              </c:strCache>
            </c:strRef>
          </c:tx>
          <c:spPr>
            <a:solidFill>
              <a:schemeClr val="accent1">
                <a:lumMod val="50000"/>
              </a:schemeClr>
            </a:solidFill>
            <a:ln>
              <a:noFill/>
            </a:ln>
            <a:effectLst/>
          </c:spPr>
          <c:invertIfNegative val="0"/>
          <c:dLbls>
            <c:spPr>
              <a:noFill/>
              <a:ln>
                <a:noFill/>
              </a:ln>
              <a:effectLst/>
            </c:spPr>
            <c:txPr>
              <a:bodyPr rot="-5400000" spcFirstLastPara="1" vertOverflow="ellipsis" wrap="square" lIns="38100" tIns="19050" rIns="38100" bIns="19050" anchor="ctr" anchorCtr="0">
                <a:spAutoFit/>
              </a:bodyPr>
              <a:lstStyle/>
              <a:p>
                <a:pPr>
                  <a:defRPr sz="1000" b="0" i="0" u="none" strike="noStrike" kern="1200" baseline="0">
                    <a:solidFill>
                      <a:schemeClr val="bg1"/>
                    </a:solidFill>
                    <a:latin typeface="Palatino Linotype" panose="02040502050505030304" pitchFamily="18" charset="0"/>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'4th QTR County Data'!$B$179:$B$204</c:f>
              <c:numCache>
                <c:formatCode>General</c:formatCode>
                <c:ptCount val="2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numCache>
            </c:numRef>
          </c:cat>
          <c:val>
            <c:numRef>
              <c:f>'4th QTR County Data'!$E$179:$E$204</c:f>
              <c:numCache>
                <c:formatCode>_("$"* #,##0_);_("$"* \(#,##0\);_("$"* "-"??_);_(@_)</c:formatCode>
                <c:ptCount val="26"/>
                <c:pt idx="0">
                  <c:v>181287.5</c:v>
                </c:pt>
                <c:pt idx="1">
                  <c:v>187931</c:v>
                </c:pt>
                <c:pt idx="2">
                  <c:v>205944.5</c:v>
                </c:pt>
                <c:pt idx="3">
                  <c:v>216532</c:v>
                </c:pt>
                <c:pt idx="4">
                  <c:v>237872.5</c:v>
                </c:pt>
                <c:pt idx="5">
                  <c:v>248510</c:v>
                </c:pt>
                <c:pt idx="6">
                  <c:v>257130.75</c:v>
                </c:pt>
                <c:pt idx="7">
                  <c:v>261279.75</c:v>
                </c:pt>
                <c:pt idx="8">
                  <c:v>246983.25</c:v>
                </c:pt>
                <c:pt idx="9">
                  <c:v>222295.25</c:v>
                </c:pt>
                <c:pt idx="10">
                  <c:v>226301.25</c:v>
                </c:pt>
                <c:pt idx="11">
                  <c:v>214727.25</c:v>
                </c:pt>
                <c:pt idx="12">
                  <c:v>211151.5</c:v>
                </c:pt>
                <c:pt idx="13">
                  <c:v>225668.25</c:v>
                </c:pt>
                <c:pt idx="14">
                  <c:v>230677.25</c:v>
                </c:pt>
                <c:pt idx="15">
                  <c:v>243028.75</c:v>
                </c:pt>
                <c:pt idx="16">
                  <c:v>252629.75</c:v>
                </c:pt>
                <c:pt idx="17">
                  <c:v>266303.5</c:v>
                </c:pt>
                <c:pt idx="18">
                  <c:v>283048</c:v>
                </c:pt>
                <c:pt idx="19">
                  <c:v>304537.25</c:v>
                </c:pt>
                <c:pt idx="20">
                  <c:v>325308.75</c:v>
                </c:pt>
                <c:pt idx="21">
                  <c:v>361966.25</c:v>
                </c:pt>
                <c:pt idx="22">
                  <c:v>394442.5</c:v>
                </c:pt>
                <c:pt idx="23">
                  <c:v>417800.25</c:v>
                </c:pt>
                <c:pt idx="24">
                  <c:v>443604.5</c:v>
                </c:pt>
                <c:pt idx="25">
                  <c:v>470701.75</c:v>
                </c:pt>
              </c:numCache>
            </c:numRef>
          </c:val>
          <c:extLst>
            <c:ext xmlns:c16="http://schemas.microsoft.com/office/drawing/2014/chart" uri="{C3380CC4-5D6E-409C-BE32-E72D297353CC}">
              <c16:uniqueId val="{00000000-044E-4899-83E1-73038E367CF8}"/>
            </c:ext>
          </c:extLst>
        </c:ser>
        <c:dLbls>
          <c:dLblPos val="inEnd"/>
          <c:showLegendKey val="0"/>
          <c:showVal val="1"/>
          <c:showCatName val="0"/>
          <c:showSerName val="0"/>
          <c:showPercent val="0"/>
          <c:showBubbleSize val="0"/>
        </c:dLbls>
        <c:gapWidth val="50"/>
        <c:overlap val="-100"/>
        <c:axId val="510562616"/>
        <c:axId val="510563008"/>
      </c:barChart>
      <c:catAx>
        <c:axId val="510562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crossAx val="510563008"/>
        <c:crosses val="autoZero"/>
        <c:auto val="1"/>
        <c:lblAlgn val="ctr"/>
        <c:lblOffset val="100"/>
        <c:noMultiLvlLbl val="0"/>
      </c:catAx>
      <c:valAx>
        <c:axId val="510563008"/>
        <c:scaling>
          <c:orientation val="minMax"/>
        </c:scaling>
        <c:delete val="0"/>
        <c:axPos val="l"/>
        <c:majorGridlines>
          <c:spPr>
            <a:ln w="9525" cap="flat" cmpd="sng" algn="ctr">
              <a:solidFill>
                <a:schemeClr val="tx1">
                  <a:lumMod val="15000"/>
                  <a:lumOff val="85000"/>
                </a:schemeClr>
              </a:solidFill>
              <a:round/>
            </a:ln>
            <a:effectLst/>
          </c:spPr>
        </c:majorGridlines>
        <c:numFmt formatCode="_(&quot;$&quot;* #,##0_);_(&quot;$&quot;* \(#,##0\);_(&quot;$&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crossAx val="51056261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1">
  <a:schemeClr val="accent1"/>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rawings/_rels/drawing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drawings/drawing1.xml><?xml version="1.0" encoding="utf-8"?>
<c:userShapes xmlns:c="http://schemas.openxmlformats.org/drawingml/2006/chart">
  <cdr:relSizeAnchor xmlns:cdr="http://schemas.openxmlformats.org/drawingml/2006/chartDrawing">
    <cdr:from>
      <cdr:x>0.92562</cdr:x>
      <cdr:y>0.88307</cdr:y>
    </cdr:from>
    <cdr:to>
      <cdr:x>0.99228</cdr:x>
      <cdr:y>0.99669</cdr:y>
    </cdr:to>
    <cdr:pic>
      <cdr:nvPicPr>
        <cdr:cNvPr id="2" name="chart">
          <a:extLst xmlns:a="http://schemas.openxmlformats.org/drawingml/2006/main">
            <a:ext uri="{FF2B5EF4-FFF2-40B4-BE49-F238E27FC236}">
              <a16:creationId xmlns:a16="http://schemas.microsoft.com/office/drawing/2014/main" id="{2E3FD39A-7E1B-7B54-8DBF-1815539052EA}"/>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5078308" y="2826178"/>
          <a:ext cx="365760" cy="363639"/>
        </a:xfrm>
        <a:prstGeom xmlns:a="http://schemas.openxmlformats.org/drawingml/2006/main" prst="rect">
          <a:avLst/>
        </a:prstGeom>
      </cdr:spPr>
    </cdr:pic>
  </cdr:relSizeAnchor>
  <cdr:relSizeAnchor xmlns:cdr="http://schemas.openxmlformats.org/drawingml/2006/chartDrawing">
    <cdr:from>
      <cdr:x>0.00193</cdr:x>
      <cdr:y>0.84721</cdr:y>
    </cdr:from>
    <cdr:to>
      <cdr:x>0.08526</cdr:x>
      <cdr:y>0.99008</cdr:y>
    </cdr:to>
    <cdr:pic>
      <cdr:nvPicPr>
        <cdr:cNvPr id="3" name="Picture 2">
          <a:extLst xmlns:a="http://schemas.openxmlformats.org/drawingml/2006/main">
            <a:ext uri="{FF2B5EF4-FFF2-40B4-BE49-F238E27FC236}">
              <a16:creationId xmlns:a16="http://schemas.microsoft.com/office/drawing/2014/main" id="{3BB21591-28C5-8318-C108-89EAEA828975}"/>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2">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10583" y="2711414"/>
          <a:ext cx="457200" cy="457236"/>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0.01157</cdr:x>
      <cdr:y>0.84614</cdr:y>
    </cdr:from>
    <cdr:to>
      <cdr:x>0.09491</cdr:x>
      <cdr:y>1</cdr:y>
    </cdr:to>
    <cdr:pic>
      <cdr:nvPicPr>
        <cdr:cNvPr id="2" name="Picture 1">
          <a:extLst xmlns:a="http://schemas.openxmlformats.org/drawingml/2006/main">
            <a:ext uri="{FF2B5EF4-FFF2-40B4-BE49-F238E27FC236}">
              <a16:creationId xmlns:a16="http://schemas.microsoft.com/office/drawing/2014/main" id="{26B95A79-CE85-3124-AAA0-E6FAAF2C3C5D}"/>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63500" y="2514564"/>
          <a:ext cx="457200" cy="457236"/>
        </a:xfrm>
        <a:prstGeom xmlns:a="http://schemas.openxmlformats.org/drawingml/2006/main" prst="rect">
          <a:avLst/>
        </a:prstGeom>
      </cdr:spPr>
    </cdr:pic>
  </cdr:relSizeAnchor>
  <cdr:relSizeAnchor xmlns:cdr="http://schemas.openxmlformats.org/drawingml/2006/chartDrawing">
    <cdr:from>
      <cdr:x>0.93333</cdr:x>
      <cdr:y>0.87764</cdr:y>
    </cdr:from>
    <cdr:to>
      <cdr:x>1</cdr:x>
      <cdr:y>1</cdr:y>
    </cdr:to>
    <cdr:pic>
      <cdr:nvPicPr>
        <cdr:cNvPr id="3" name="chart">
          <a:extLst xmlns:a="http://schemas.openxmlformats.org/drawingml/2006/main">
            <a:ext uri="{FF2B5EF4-FFF2-40B4-BE49-F238E27FC236}">
              <a16:creationId xmlns:a16="http://schemas.microsoft.com/office/drawing/2014/main" id="{2E3FD39A-7E1B-7B54-8DBF-1815539052EA}"/>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5131223" y="2608161"/>
          <a:ext cx="365760" cy="363639"/>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Palatino Linotype">
      <a:majorFont>
        <a:latin typeface="Century Gothic" panose="020B0502020202020204"/>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8173863-2EC1-42AE-84BB-8616F4FBD678}">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3C631-8471-4ACA-952D-531C6F7B1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6</Pages>
  <Words>1231</Words>
  <Characters>6512</Characters>
  <Application>Microsoft Office Word</Application>
  <DocSecurity>0</DocSecurity>
  <Lines>383</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 Ruzicka</cp:lastModifiedBy>
  <cp:revision>5</cp:revision>
  <cp:lastPrinted>2026-01-13T18:21:00Z</cp:lastPrinted>
  <dcterms:created xsi:type="dcterms:W3CDTF">2026-01-13T18:16:00Z</dcterms:created>
  <dcterms:modified xsi:type="dcterms:W3CDTF">2026-01-13T21:03:00Z</dcterms:modified>
</cp:coreProperties>
</file>