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FBFF" w14:textId="1ADE0D7F" w:rsidR="00127EF0" w:rsidRDefault="001C3CE4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7452784D">
                <wp:simplePos x="0" y="0"/>
                <wp:positionH relativeFrom="column">
                  <wp:posOffset>4086225</wp:posOffset>
                </wp:positionH>
                <wp:positionV relativeFrom="paragraph">
                  <wp:posOffset>-581025</wp:posOffset>
                </wp:positionV>
                <wp:extent cx="2298700" cy="1209675"/>
                <wp:effectExtent l="0" t="0" r="0" b="0"/>
                <wp:wrapNone/>
                <wp:docPr id="19837477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7C18168D" w:rsidR="00AD4C46" w:rsidRPr="000478F6" w:rsidRDefault="006D2AF9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April 13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202</w:t>
                            </w:r>
                            <w:r w:rsidR="00133D00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6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" filled="f" stroked="f" strokeweight="1pt">
                <v:textbox>
                  <w:txbxContent>
                    <w:p w14:paraId="647EB74D" w14:textId="7C18168D" w:rsidR="00AD4C46" w:rsidRPr="000478F6" w:rsidRDefault="006D2AF9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April 13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, 202</w:t>
                      </w:r>
                      <w:r w:rsidR="00133D00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6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3D22F3BD">
                <wp:simplePos x="0" y="0"/>
                <wp:positionH relativeFrom="column">
                  <wp:posOffset>-914400</wp:posOffset>
                </wp:positionH>
                <wp:positionV relativeFrom="paragraph">
                  <wp:posOffset>-647700</wp:posOffset>
                </wp:positionV>
                <wp:extent cx="3429000" cy="1434465"/>
                <wp:effectExtent l="0" t="0" r="0" b="0"/>
                <wp:wrapNone/>
                <wp:docPr id="20307062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086B75" w:rsidP="00AD4C46">
                            <w:pPr>
                              <w:pStyle w:val="ContactInfoUpperLeft"/>
                            </w:pPr>
                            <w:hyperlink r:id="rId8" w:history="1">
                              <w:r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7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086B75" w:rsidP="00AD4C46">
                      <w:pPr>
                        <w:pStyle w:val="ContactInfoUpperLeft"/>
                      </w:pPr>
                      <w:hyperlink r:id="rId9" w:history="1">
                        <w:r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D31EA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28BC2847" w:rsidR="001F5CBD" w:rsidRPr="00DB59A4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32"/>
          <w:szCs w:val="32"/>
        </w:rPr>
      </w:pPr>
    </w:p>
    <w:p w14:paraId="24DE3ED6" w14:textId="292452A3" w:rsidR="00775F51" w:rsidRDefault="006D2AF9" w:rsidP="00AD4C46">
      <w:pPr>
        <w:pStyle w:val="Heading1"/>
      </w:pPr>
      <w:r>
        <w:t>1</w:t>
      </w:r>
      <w:r w:rsidRPr="006D2AF9">
        <w:rPr>
          <w:vertAlign w:val="superscript"/>
        </w:rPr>
        <w:t>st</w:t>
      </w:r>
      <w:r>
        <w:t xml:space="preserve"> Qtr</w:t>
      </w:r>
      <w:r w:rsidR="00133D00">
        <w:t xml:space="preserve"> </w:t>
      </w:r>
      <w:r w:rsidR="00775F51">
        <w:t xml:space="preserve">Home Sales </w:t>
      </w:r>
      <w:r w:rsidR="00737429">
        <w:t xml:space="preserve">Up </w:t>
      </w:r>
      <w:r w:rsidR="000008FC">
        <w:t>2.1</w:t>
      </w:r>
      <w:r w:rsidR="00775F51">
        <w:t>%</w:t>
      </w:r>
    </w:p>
    <w:p w14:paraId="4EFD022F" w14:textId="0EF4D2FB" w:rsidR="00127EF0" w:rsidRPr="00AD4C46" w:rsidRDefault="006D2AF9" w:rsidP="00AD4C46">
      <w:pPr>
        <w:pStyle w:val="Heading1"/>
      </w:pPr>
      <w:r>
        <w:t>March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 xml:space="preserve">Sales </w:t>
      </w:r>
      <w:r w:rsidR="00DB59A4">
        <w:t xml:space="preserve">Up </w:t>
      </w:r>
      <w:r w:rsidR="000008FC">
        <w:t>11</w:t>
      </w:r>
      <w:r w:rsidR="00B347C2">
        <w:t>.</w:t>
      </w:r>
      <w:r w:rsidR="000008FC">
        <w:t>2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80"/>
        <w:gridCol w:w="1465"/>
      </w:tblGrid>
      <w:tr w:rsidR="00E913B2" w:rsidRPr="002F2B80" w14:paraId="24B40EB5" w14:textId="77777777" w:rsidTr="00E8190F">
        <w:trPr>
          <w:trHeight w:val="360"/>
        </w:trPr>
        <w:tc>
          <w:tcPr>
            <w:tcW w:w="8280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465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vAlign w:val="center"/>
          </w:tcPr>
          <w:p w14:paraId="2AA4FD63" w14:textId="1484FADF" w:rsidR="00E302C4" w:rsidRPr="002F2B80" w:rsidRDefault="00C547F1" w:rsidP="00B20739">
            <w:pPr>
              <w:pStyle w:val="ListParagraph"/>
              <w:ind w:left="510"/>
              <w:rPr>
                <w:sz w:val="24"/>
                <w:szCs w:val="24"/>
              </w:rPr>
            </w:pPr>
            <w:bookmarkStart w:id="1" w:name="_Hlk195533650"/>
            <w:r>
              <w:rPr>
                <w:sz w:val="24"/>
                <w:szCs w:val="24"/>
              </w:rPr>
              <w:t xml:space="preserve">Sales </w:t>
            </w:r>
            <w:r w:rsidR="00801B2E">
              <w:rPr>
                <w:sz w:val="24"/>
                <w:szCs w:val="24"/>
              </w:rPr>
              <w:t xml:space="preserve">Increase is Healthy, But Must </w:t>
            </w:r>
            <w:proofErr w:type="gramStart"/>
            <w:r w:rsidR="00801B2E">
              <w:rPr>
                <w:sz w:val="24"/>
                <w:szCs w:val="24"/>
              </w:rPr>
              <w:t>Be Put</w:t>
            </w:r>
            <w:proofErr w:type="gramEnd"/>
            <w:r w:rsidR="00801B2E">
              <w:rPr>
                <w:sz w:val="24"/>
                <w:szCs w:val="24"/>
              </w:rPr>
              <w:t xml:space="preserve"> Into Perspective</w:t>
            </w:r>
            <w:r w:rsidR="00F3700A"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786D284B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vAlign w:val="center"/>
          </w:tcPr>
          <w:p w14:paraId="1B827FCA" w14:textId="303B6D0A" w:rsidR="00E302C4" w:rsidRPr="007B1281" w:rsidRDefault="00F418DC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Metro </w:t>
            </w:r>
            <w:r w:rsidRPr="008C345B">
              <w:rPr>
                <w:sz w:val="24"/>
                <w:szCs w:val="24"/>
              </w:rPr>
              <w:t>Prices Up</w:t>
            </w:r>
            <w:r w:rsidR="000008FC">
              <w:rPr>
                <w:sz w:val="24"/>
                <w:szCs w:val="24"/>
              </w:rPr>
              <w:t xml:space="preserve"> </w:t>
            </w:r>
            <w:r w:rsidR="00F3700A">
              <w:rPr>
                <w:sz w:val="24"/>
                <w:szCs w:val="24"/>
              </w:rPr>
              <w:t xml:space="preserve">5%, Average of $457,448 </w:t>
            </w:r>
          </w:p>
        </w:tc>
      </w:tr>
      <w:tr w:rsidR="00E302C4" w:rsidRPr="002F2B80" w14:paraId="07DD8276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vAlign w:val="center"/>
          </w:tcPr>
          <w:p w14:paraId="0EAFC321" w14:textId="4A35FF03" w:rsidR="00E302C4" w:rsidRPr="002F2B80" w:rsidRDefault="0029714D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Additional Supply </w:t>
            </w:r>
            <w:r w:rsidR="000008FC">
              <w:rPr>
                <w:sz w:val="24"/>
                <w:szCs w:val="24"/>
              </w:rPr>
              <w:t xml:space="preserve">Still </w:t>
            </w:r>
            <w:r>
              <w:rPr>
                <w:sz w:val="24"/>
                <w:szCs w:val="24"/>
              </w:rPr>
              <w:t>Desperately Needed</w:t>
            </w:r>
            <w:r w:rsidR="00F3700A">
              <w:rPr>
                <w:sz w:val="24"/>
                <w:szCs w:val="24"/>
              </w:rPr>
              <w:t xml:space="preserve"> </w:t>
            </w:r>
          </w:p>
        </w:tc>
      </w:tr>
      <w:bookmarkEnd w:id="1"/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F402BD">
      <w:pPr>
        <w:spacing w:before="120" w:after="120"/>
        <w:ind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30"/>
        <w:gridCol w:w="985"/>
      </w:tblGrid>
      <w:tr w:rsidR="00B170CC" w:rsidRPr="00627017" w14:paraId="79E06187" w14:textId="77777777" w:rsidTr="00620A04">
        <w:trPr>
          <w:trHeight w:val="36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0324" w14:textId="53F0685C" w:rsidR="00B170CC" w:rsidRPr="00627017" w:rsidRDefault="004D52E3" w:rsidP="00B65888">
            <w:pPr>
              <w:spacing w:line="252" w:lineRule="auto"/>
              <w:ind w:left="-105" w:right="-1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="006D2AF9">
              <w:rPr>
                <w:rFonts w:ascii="Arial" w:hAnsi="Arial" w:cs="Arial"/>
                <w:b/>
                <w:sz w:val="22"/>
              </w:rPr>
              <w:t>1</w:t>
            </w:r>
            <w:r w:rsidR="006D2AF9" w:rsidRPr="006D2AF9">
              <w:rPr>
                <w:rFonts w:ascii="Arial" w:hAnsi="Arial" w:cs="Arial"/>
                <w:b/>
                <w:sz w:val="22"/>
                <w:vertAlign w:val="superscript"/>
              </w:rPr>
              <w:t>st</w:t>
            </w:r>
            <w:r w:rsidR="006D2AF9">
              <w:rPr>
                <w:rFonts w:ascii="Arial" w:hAnsi="Arial" w:cs="Arial"/>
                <w:b/>
                <w:sz w:val="22"/>
              </w:rPr>
              <w:t xml:space="preserve"> Qtr Sales</w:t>
            </w:r>
            <w:r w:rsidR="00D204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0441" w:rsidRPr="005C3BB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(Jan 1 – </w:t>
            </w:r>
            <w:r w:rsidR="006D2AF9">
              <w:rPr>
                <w:rFonts w:ascii="Arial" w:eastAsia="Calibri" w:hAnsi="Arial" w:cs="Arial"/>
                <w:bCs/>
                <w:sz w:val="18"/>
                <w:szCs w:val="18"/>
              </w:rPr>
              <w:t>Mar</w:t>
            </w:r>
            <w:r w:rsidR="00D20441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D20441" w:rsidRPr="005C3BB5">
              <w:rPr>
                <w:rFonts w:ascii="Arial" w:eastAsia="Calibri" w:hAnsi="Arial" w:cs="Arial"/>
                <w:bCs/>
                <w:sz w:val="18"/>
                <w:szCs w:val="18"/>
              </w:rPr>
              <w:t>3</w:t>
            </w:r>
            <w:r w:rsidR="00133D00"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  <w:r w:rsidR="00D20441" w:rsidRPr="005C3BB5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</w:tr>
      <w:tr w:rsidR="00B170CC" w:rsidRPr="00627017" w14:paraId="5B14E643" w14:textId="77777777" w:rsidTr="00DB59A4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300A7600" w14:textId="77777777" w:rsidR="00B170CC" w:rsidRPr="00627017" w:rsidRDefault="00B170CC" w:rsidP="00627017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9E84" w14:textId="275FC86B" w:rsidR="00B170CC" w:rsidRPr="00627017" w:rsidRDefault="00B170CC" w:rsidP="0001575D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D2AF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F07D" w14:textId="16E5FB9A" w:rsidR="00B170CC" w:rsidRPr="00627017" w:rsidRDefault="00B170CC" w:rsidP="0001575D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D2AF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F94D0A4" w14:textId="77777777" w:rsidR="00B170CC" w:rsidRPr="00DB59A4" w:rsidRDefault="00B170CC" w:rsidP="00DB59A4">
            <w:pPr>
              <w:ind w:right="15"/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DB59A4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6D2AF9" w:rsidRPr="00627017" w14:paraId="20306320" w14:textId="77777777" w:rsidTr="00ED02C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8B81" w14:textId="77777777" w:rsidR="006D2AF9" w:rsidRPr="00627017" w:rsidRDefault="006D2AF9" w:rsidP="006D2AF9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B4AB" w14:textId="0C478880" w:rsidR="006D2AF9" w:rsidRPr="006D2AF9" w:rsidRDefault="006D2AF9" w:rsidP="006D2AF9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1,792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F808" w14:textId="1F624F1A" w:rsidR="006D2AF9" w:rsidRPr="006D2AF9" w:rsidRDefault="006D2AF9" w:rsidP="006D2AF9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1,783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9294B08" w14:textId="14919D23" w:rsidR="006D2AF9" w:rsidRPr="006D2AF9" w:rsidRDefault="006D2AF9" w:rsidP="006D2AF9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-0.5%</w:t>
            </w:r>
          </w:p>
        </w:tc>
      </w:tr>
      <w:tr w:rsidR="006D2AF9" w:rsidRPr="00627017" w14:paraId="476C4D87" w14:textId="77777777" w:rsidTr="00ED02C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87B5" w14:textId="77777777" w:rsidR="006D2AF9" w:rsidRPr="00627017" w:rsidRDefault="006D2AF9" w:rsidP="006D2AF9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16B9" w14:textId="651B7476" w:rsidR="006D2AF9" w:rsidRPr="006D2AF9" w:rsidRDefault="006D2AF9" w:rsidP="006D2AF9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786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ADAC" w14:textId="346A21D8" w:rsidR="006D2AF9" w:rsidRPr="006D2AF9" w:rsidRDefault="006D2AF9" w:rsidP="006D2AF9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846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9A559A1" w14:textId="504D9778" w:rsidR="006D2AF9" w:rsidRPr="006D2AF9" w:rsidRDefault="006D2AF9" w:rsidP="006D2AF9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7.6%</w:t>
            </w:r>
          </w:p>
        </w:tc>
      </w:tr>
      <w:tr w:rsidR="006D2AF9" w:rsidRPr="00627017" w14:paraId="7C64D003" w14:textId="77777777" w:rsidTr="00ED02C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1E4B" w14:textId="59B4DC24" w:rsidR="006D2AF9" w:rsidRPr="00627017" w:rsidRDefault="006D2AF9" w:rsidP="006D2AF9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EC73" w14:textId="0597D80C" w:rsidR="006D2AF9" w:rsidRPr="006D2AF9" w:rsidRDefault="006D2AF9" w:rsidP="006D2AF9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194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E35F" w14:textId="3AE7D657" w:rsidR="006D2AF9" w:rsidRPr="006D2AF9" w:rsidRDefault="006D2AF9" w:rsidP="006D2AF9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215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917AD6B" w14:textId="5D704D44" w:rsidR="006D2AF9" w:rsidRPr="006D2AF9" w:rsidRDefault="006D2AF9" w:rsidP="006D2AF9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10.8%</w:t>
            </w:r>
          </w:p>
        </w:tc>
      </w:tr>
      <w:tr w:rsidR="006D2AF9" w:rsidRPr="00627017" w14:paraId="73B88858" w14:textId="77777777" w:rsidTr="00ED02C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03BE" w14:textId="64F564C2" w:rsidR="006D2AF9" w:rsidRPr="00627017" w:rsidRDefault="006D2AF9" w:rsidP="006D2AF9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6538" w14:textId="1A8E144E" w:rsidR="006D2AF9" w:rsidRPr="006D2AF9" w:rsidRDefault="006D2AF9" w:rsidP="006D2AF9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276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DCFA" w14:textId="3C4AE564" w:rsidR="006D2AF9" w:rsidRPr="006D2AF9" w:rsidRDefault="006D2AF9" w:rsidP="006D2AF9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269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0A622F2D" w14:textId="10AAE720" w:rsidR="006D2AF9" w:rsidRPr="006D2AF9" w:rsidRDefault="006D2AF9" w:rsidP="006D2AF9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-2.5%</w:t>
            </w:r>
          </w:p>
        </w:tc>
      </w:tr>
      <w:tr w:rsidR="006D2AF9" w:rsidRPr="00627017" w14:paraId="29367927" w14:textId="77777777" w:rsidTr="00ED02C7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7E40" w14:textId="77777777" w:rsidR="006D2AF9" w:rsidRPr="00627017" w:rsidRDefault="006D2AF9" w:rsidP="006D2AF9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0E7A" w14:textId="2886D083" w:rsidR="006D2AF9" w:rsidRPr="006D2AF9" w:rsidRDefault="006D2AF9" w:rsidP="006D2AF9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3,048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451F" w14:textId="4D50FDC7" w:rsidR="006D2AF9" w:rsidRPr="006D2AF9" w:rsidRDefault="006D2AF9" w:rsidP="006D2AF9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3,113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9179831" w14:textId="106057B3" w:rsidR="006D2AF9" w:rsidRPr="006D2AF9" w:rsidRDefault="006D2AF9" w:rsidP="006D2AF9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2.1%</w:t>
            </w:r>
          </w:p>
        </w:tc>
      </w:tr>
      <w:tr w:rsidR="00593670" w:rsidRPr="00627017" w14:paraId="0DD73203" w14:textId="77777777" w:rsidTr="008F7E2F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8F7B" w14:textId="77777777" w:rsidR="00593670" w:rsidRPr="00620A04" w:rsidRDefault="00593670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D2AF9" w:rsidRPr="00627017" w14:paraId="4DB026E3" w14:textId="77777777" w:rsidTr="00960952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45C7" w14:textId="4168D92D" w:rsidR="006D2AF9" w:rsidRPr="00627017" w:rsidRDefault="006D2AF9" w:rsidP="006D2AF9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Sheboygan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67B3" w14:textId="6591FD57" w:rsidR="006D2AF9" w:rsidRPr="006D2AF9" w:rsidRDefault="006D2AF9" w:rsidP="006D2AF9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223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6784B77" w14:textId="1618BDA8" w:rsidR="006D2AF9" w:rsidRPr="006D2AF9" w:rsidRDefault="006D2AF9" w:rsidP="006D2AF9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229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FF3F94E" w14:textId="39D57258" w:rsidR="006D2AF9" w:rsidRPr="006D2AF9" w:rsidRDefault="006D2AF9" w:rsidP="006D2AF9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2.7%</w:t>
            </w:r>
          </w:p>
        </w:tc>
      </w:tr>
      <w:tr w:rsidR="006D2AF9" w:rsidRPr="00627017" w14:paraId="509D9972" w14:textId="77777777" w:rsidTr="00960952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AE8C" w14:textId="10CFD9AB" w:rsidR="006D2AF9" w:rsidRPr="00627017" w:rsidRDefault="006D2AF9" w:rsidP="006D2AF9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B309" w14:textId="5B6FEC9D" w:rsidR="006D2AF9" w:rsidRPr="006D2AF9" w:rsidRDefault="006D2AF9" w:rsidP="006D2AF9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404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0A53D4D7" w14:textId="5F1A7F87" w:rsidR="006D2AF9" w:rsidRPr="006D2AF9" w:rsidRDefault="006D2AF9" w:rsidP="006D2AF9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437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D18EF35" w14:textId="5C51240C" w:rsidR="006D2AF9" w:rsidRPr="006D2AF9" w:rsidRDefault="006D2AF9" w:rsidP="006D2AF9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8.2%</w:t>
            </w:r>
          </w:p>
        </w:tc>
      </w:tr>
      <w:tr w:rsidR="006D2AF9" w:rsidRPr="00627017" w14:paraId="42ECBD06" w14:textId="77777777" w:rsidTr="00960952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9869" w14:textId="009CF0EA" w:rsidR="006D2AF9" w:rsidRPr="00627017" w:rsidRDefault="006D2AF9" w:rsidP="006D2AF9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D891" w14:textId="5DA42D8E" w:rsidR="006D2AF9" w:rsidRPr="006D2AF9" w:rsidRDefault="006D2AF9" w:rsidP="006D2AF9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305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E10A580" w14:textId="5A7A405D" w:rsidR="006D2AF9" w:rsidRPr="006D2AF9" w:rsidRDefault="006D2AF9" w:rsidP="006D2AF9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306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FA9DF6A" w14:textId="7D1F60AF" w:rsidR="006D2AF9" w:rsidRPr="006D2AF9" w:rsidRDefault="006D2AF9" w:rsidP="006D2AF9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0.3%</w:t>
            </w:r>
          </w:p>
        </w:tc>
      </w:tr>
      <w:tr w:rsidR="006D2AF9" w:rsidRPr="00627017" w14:paraId="122A5C4D" w14:textId="77777777" w:rsidTr="00960952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6F04" w14:textId="2D9046A0" w:rsidR="006D2AF9" w:rsidRPr="00627017" w:rsidRDefault="006D2AF9" w:rsidP="006D2AF9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3030" w14:textId="528AF73A" w:rsidR="006D2AF9" w:rsidRPr="006D2AF9" w:rsidRDefault="006D2AF9" w:rsidP="006D2AF9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220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667CA0E" w14:textId="58CA0137" w:rsidR="006D2AF9" w:rsidRPr="006D2AF9" w:rsidRDefault="006D2AF9" w:rsidP="006D2AF9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228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6BF40EC" w14:textId="2DA5764C" w:rsidR="006D2AF9" w:rsidRPr="006D2AF9" w:rsidRDefault="006D2AF9" w:rsidP="006D2AF9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3.6%</w:t>
            </w:r>
          </w:p>
        </w:tc>
      </w:tr>
      <w:tr w:rsidR="006D2AF9" w:rsidRPr="00627017" w14:paraId="199EA85E" w14:textId="77777777" w:rsidTr="00960952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78D0" w14:textId="2E24EC13" w:rsidR="006D2AF9" w:rsidRPr="00627017" w:rsidRDefault="006D2AF9" w:rsidP="006D2AF9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EA665" w14:textId="1127E8D0" w:rsidR="006D2AF9" w:rsidRPr="006D2AF9" w:rsidRDefault="006D2AF9" w:rsidP="006D2AF9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4,200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024608" w14:textId="02C1274D" w:rsidR="006D2AF9" w:rsidRPr="006D2AF9" w:rsidRDefault="006D2AF9" w:rsidP="006D2AF9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4,313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0459CD6" w14:textId="691C2D8F" w:rsidR="006D2AF9" w:rsidRPr="006D2AF9" w:rsidRDefault="006D2AF9" w:rsidP="006D2AF9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2.7%</w:t>
            </w:r>
          </w:p>
        </w:tc>
      </w:tr>
      <w:tr w:rsidR="00627017" w:rsidRPr="00627017" w14:paraId="2A2218DE" w14:textId="77777777" w:rsidTr="00620A04">
        <w:trPr>
          <w:trHeight w:val="144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7CA7" w14:textId="77777777" w:rsidR="00627017" w:rsidRPr="00627017" w:rsidRDefault="00627017" w:rsidP="00DC07EE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64CF" w:rsidRPr="00627017" w14:paraId="4EF55532" w14:textId="77777777" w:rsidTr="00620A04">
        <w:trPr>
          <w:trHeight w:val="360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22F3EC70" w:rsidR="00F264CF" w:rsidRPr="00D42F01" w:rsidRDefault="006D2AF9" w:rsidP="00133D00">
            <w:pPr>
              <w:spacing w:line="252" w:lineRule="auto"/>
              <w:ind w:left="-14" w:right="-1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March</w:t>
            </w:r>
            <w:r w:rsidR="00F264CF" w:rsidRPr="00D42F01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BD05F0" w:rsidRPr="00D42F01">
              <w:rPr>
                <w:rFonts w:ascii="Arial" w:hAnsi="Arial" w:cs="Arial"/>
                <w:b/>
                <w:bCs/>
                <w:sz w:val="22"/>
              </w:rPr>
              <w:t>Sale</w:t>
            </w:r>
            <w:r w:rsidR="00043760" w:rsidRPr="00D42F01">
              <w:rPr>
                <w:rFonts w:ascii="Arial" w:hAnsi="Arial" w:cs="Arial"/>
                <w:b/>
                <w:bCs/>
                <w:sz w:val="22"/>
              </w:rPr>
              <w:t>s</w:t>
            </w:r>
          </w:p>
        </w:tc>
      </w:tr>
      <w:tr w:rsidR="00513B1A" w:rsidRPr="00627017" w14:paraId="41B9A98A" w14:textId="77777777" w:rsidTr="00620A04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513B1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535BBE51" w:rsidR="00513B1A" w:rsidRPr="00627017" w:rsidRDefault="00513B1A" w:rsidP="00513B1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D2AF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188E5ECF" w:rsidR="00513B1A" w:rsidRPr="00627017" w:rsidRDefault="00513B1A" w:rsidP="00513B1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D2AF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08536757" w:rsidR="00513B1A" w:rsidRPr="00627017" w:rsidRDefault="00DB59A4" w:rsidP="00513B1A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B59A4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0008FC" w:rsidRPr="00627017" w14:paraId="1AA23907" w14:textId="77777777" w:rsidTr="00FA22BB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112F323" w:rsidR="000008FC" w:rsidRPr="00627017" w:rsidRDefault="000008FC" w:rsidP="000008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139" w14:textId="608F239D" w:rsidR="000008FC" w:rsidRPr="000008FC" w:rsidRDefault="000008FC" w:rsidP="000008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683</w:t>
            </w:r>
          </w:p>
        </w:tc>
        <w:tc>
          <w:tcPr>
            <w:tcW w:w="93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</w:tcPr>
          <w:p w14:paraId="4B6FA7B2" w14:textId="7C008E74" w:rsidR="000008FC" w:rsidRPr="000008FC" w:rsidRDefault="000008FC" w:rsidP="000008F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734</w:t>
            </w:r>
          </w:p>
        </w:tc>
        <w:tc>
          <w:tcPr>
            <w:tcW w:w="985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</w:tcPr>
          <w:p w14:paraId="158140DE" w14:textId="2BDBBD69" w:rsidR="000008FC" w:rsidRPr="000008FC" w:rsidRDefault="000008FC" w:rsidP="000008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7.5%</w:t>
            </w:r>
          </w:p>
        </w:tc>
      </w:tr>
      <w:tr w:rsidR="000008FC" w:rsidRPr="00627017" w14:paraId="57BCDE15" w14:textId="77777777" w:rsidTr="00FA22B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A2A5A43" w:rsidR="000008FC" w:rsidRPr="00627017" w:rsidRDefault="000008FC" w:rsidP="000008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30A4" w14:textId="5EB7C73F" w:rsidR="000008FC" w:rsidRPr="000008FC" w:rsidRDefault="000008FC" w:rsidP="000008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89B2F76" w14:textId="465433AA" w:rsidR="000008FC" w:rsidRPr="000008FC" w:rsidRDefault="000008FC" w:rsidP="000008F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478C224" w14:textId="181F0601" w:rsidR="000008FC" w:rsidRPr="000008FC" w:rsidRDefault="000008FC" w:rsidP="000008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13.4%</w:t>
            </w:r>
          </w:p>
        </w:tc>
      </w:tr>
      <w:tr w:rsidR="000008FC" w:rsidRPr="00627017" w14:paraId="355A5DBE" w14:textId="77777777" w:rsidTr="00FA22B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BC528FC" w:rsidR="000008FC" w:rsidRPr="00627017" w:rsidRDefault="000008FC" w:rsidP="000008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F775" w14:textId="2C894A3B" w:rsidR="000008FC" w:rsidRPr="000008FC" w:rsidRDefault="000008FC" w:rsidP="000008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AD890D5" w14:textId="31A64D62" w:rsidR="000008FC" w:rsidRPr="000008FC" w:rsidRDefault="000008FC" w:rsidP="000008F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1391152" w14:textId="3BFD6778" w:rsidR="000008FC" w:rsidRPr="000008FC" w:rsidRDefault="000008FC" w:rsidP="000008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20.5%</w:t>
            </w:r>
          </w:p>
        </w:tc>
      </w:tr>
      <w:tr w:rsidR="000008FC" w:rsidRPr="00627017" w14:paraId="64E87CC5" w14:textId="77777777" w:rsidTr="00FA22B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4DF0D63F" w:rsidR="000008FC" w:rsidRPr="00627017" w:rsidRDefault="000008FC" w:rsidP="000008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C7B0" w14:textId="11D5A9A7" w:rsidR="000008FC" w:rsidRPr="000008FC" w:rsidRDefault="000008FC" w:rsidP="000008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14:paraId="32E30A01" w14:textId="692E45FD" w:rsidR="000008FC" w:rsidRPr="000008FC" w:rsidRDefault="000008FC" w:rsidP="000008F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B039E9B" w14:textId="407B0848" w:rsidR="000008FC" w:rsidRPr="000008FC" w:rsidRDefault="000008FC" w:rsidP="000008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23.2%</w:t>
            </w:r>
          </w:p>
        </w:tc>
      </w:tr>
      <w:tr w:rsidR="000008FC" w:rsidRPr="00627017" w14:paraId="45CEE296" w14:textId="77777777" w:rsidTr="00FA22BB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7A275E9B" w:rsidR="000008FC" w:rsidRPr="00627017" w:rsidRDefault="000008FC" w:rsidP="000008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9C3C" w14:textId="6300C15C" w:rsidR="000008FC" w:rsidRPr="000008FC" w:rsidRDefault="000008FC" w:rsidP="000008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1,167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60732E" w14:textId="314F98E9" w:rsidR="000008FC" w:rsidRPr="000008FC" w:rsidRDefault="000008FC" w:rsidP="000008F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1,298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E2FAB64" w14:textId="71E3D9C6" w:rsidR="000008FC" w:rsidRPr="000008FC" w:rsidRDefault="000008FC" w:rsidP="000008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11.2%</w:t>
            </w:r>
          </w:p>
        </w:tc>
      </w:tr>
      <w:tr w:rsidR="009B1B42" w:rsidRPr="00627017" w14:paraId="619B4396" w14:textId="77777777" w:rsidTr="008F7E2F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5C992EAE" w:rsidR="009B1B42" w:rsidRPr="00627017" w:rsidRDefault="009B1B42" w:rsidP="00620A04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 </w:t>
            </w:r>
          </w:p>
        </w:tc>
      </w:tr>
      <w:tr w:rsidR="000008FC" w:rsidRPr="00627017" w14:paraId="68627583" w14:textId="77777777" w:rsidTr="007808E4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608FCDDF" w:rsidR="000008FC" w:rsidRPr="00627017" w:rsidRDefault="000008FC" w:rsidP="000008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Sheboygan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516A" w14:textId="057D0799" w:rsidR="000008FC" w:rsidRPr="000008FC" w:rsidRDefault="000008FC" w:rsidP="000008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2084A6E" w14:textId="17DFE5C1" w:rsidR="000008FC" w:rsidRPr="000008FC" w:rsidRDefault="000008FC" w:rsidP="000008F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31C1BC8" w14:textId="0BF1AB74" w:rsidR="000008FC" w:rsidRPr="000008FC" w:rsidRDefault="000008FC" w:rsidP="000008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-1.2%</w:t>
            </w:r>
          </w:p>
        </w:tc>
      </w:tr>
      <w:tr w:rsidR="000008FC" w:rsidRPr="00627017" w14:paraId="43BFC7D0" w14:textId="77777777" w:rsidTr="007808E4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6F4B9541" w:rsidR="000008FC" w:rsidRPr="00627017" w:rsidRDefault="000008FC" w:rsidP="000008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F665" w14:textId="4F7BA88F" w:rsidR="000008FC" w:rsidRPr="000008FC" w:rsidRDefault="000008FC" w:rsidP="000008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3559378" w14:textId="1816EC42" w:rsidR="000008FC" w:rsidRPr="000008FC" w:rsidRDefault="000008FC" w:rsidP="000008F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5074A72" w14:textId="35E74719" w:rsidR="000008FC" w:rsidRPr="000008FC" w:rsidRDefault="000008FC" w:rsidP="000008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19.9%</w:t>
            </w:r>
          </w:p>
        </w:tc>
      </w:tr>
      <w:tr w:rsidR="000008FC" w:rsidRPr="00627017" w14:paraId="74C7B9C3" w14:textId="77777777" w:rsidTr="007808E4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37FC6789" w:rsidR="000008FC" w:rsidRPr="00627017" w:rsidRDefault="000008FC" w:rsidP="000008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E2C3" w14:textId="72E5B99A" w:rsidR="000008FC" w:rsidRPr="000008FC" w:rsidRDefault="000008FC" w:rsidP="000008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6EC2C9D9" w14:textId="25619349" w:rsidR="000008FC" w:rsidRPr="000008FC" w:rsidRDefault="000008FC" w:rsidP="000008F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1C6701C" w14:textId="0843861A" w:rsidR="000008FC" w:rsidRPr="000008FC" w:rsidRDefault="000008FC" w:rsidP="000008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5.4%</w:t>
            </w:r>
          </w:p>
        </w:tc>
      </w:tr>
      <w:tr w:rsidR="000008FC" w:rsidRPr="00627017" w14:paraId="719D3710" w14:textId="77777777" w:rsidTr="007808E4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13860387" w:rsidR="000008FC" w:rsidRPr="00627017" w:rsidRDefault="000008FC" w:rsidP="000008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20C1" w14:textId="3735635B" w:rsidR="000008FC" w:rsidRPr="000008FC" w:rsidRDefault="000008FC" w:rsidP="000008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14:paraId="0F38483E" w14:textId="01D094E3" w:rsidR="000008FC" w:rsidRPr="000008FC" w:rsidRDefault="000008FC" w:rsidP="000008F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D383D86" w14:textId="3F86E7CC" w:rsidR="000008FC" w:rsidRPr="000008FC" w:rsidRDefault="000008FC" w:rsidP="000008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21.1%</w:t>
            </w:r>
          </w:p>
        </w:tc>
      </w:tr>
      <w:tr w:rsidR="000008FC" w:rsidRPr="00627017" w14:paraId="72FD5738" w14:textId="77777777" w:rsidTr="007808E4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7451" w14:textId="542B4A21" w:rsidR="000008FC" w:rsidRDefault="000008FC" w:rsidP="000008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EAF2" w14:textId="3BA6389A" w:rsidR="000008FC" w:rsidRPr="000008FC" w:rsidRDefault="000008FC" w:rsidP="000008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1,573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FFD24" w14:textId="1E12864B" w:rsidR="000008FC" w:rsidRPr="000008FC" w:rsidRDefault="000008FC" w:rsidP="000008F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1,752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2DF1389" w14:textId="4632D703" w:rsidR="000008FC" w:rsidRPr="000008FC" w:rsidRDefault="000008FC" w:rsidP="000008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8FC">
              <w:rPr>
                <w:rFonts w:ascii="Arial" w:hAnsi="Arial" w:cs="Arial"/>
                <w:sz w:val="20"/>
                <w:szCs w:val="20"/>
              </w:rPr>
              <w:t>11.4%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0F98D64D" w14:textId="77777777" w:rsidR="00AE6E14" w:rsidRPr="00DF7DFC" w:rsidRDefault="00F00818" w:rsidP="00F00818">
      <w:pPr>
        <w:rPr>
          <w:szCs w:val="21"/>
        </w:rPr>
      </w:pPr>
      <w:r w:rsidRPr="00DF7DFC">
        <w:rPr>
          <w:szCs w:val="21"/>
        </w:rPr>
        <w:t xml:space="preserve">Home sales </w:t>
      </w:r>
      <w:r w:rsidR="00AE6E14" w:rsidRPr="00DF7DFC">
        <w:rPr>
          <w:szCs w:val="21"/>
        </w:rPr>
        <w:t xml:space="preserve">jumped 11.2% in March </w:t>
      </w:r>
      <w:r w:rsidRPr="00DF7DFC">
        <w:rPr>
          <w:szCs w:val="21"/>
        </w:rPr>
        <w:t>in the Metropolitan Milwaukee market</w:t>
      </w:r>
      <w:r w:rsidR="00AE6E14" w:rsidRPr="00DF7DFC">
        <w:rPr>
          <w:szCs w:val="21"/>
        </w:rPr>
        <w:t>. Sales were also up 2.1%</w:t>
      </w:r>
      <w:r w:rsidRPr="00DF7DFC">
        <w:rPr>
          <w:szCs w:val="21"/>
        </w:rPr>
        <w:t xml:space="preserve"> </w:t>
      </w:r>
      <w:r w:rsidR="00AE6E14" w:rsidRPr="00DF7DFC">
        <w:rPr>
          <w:szCs w:val="21"/>
        </w:rPr>
        <w:t>through the first quarter of 2026.</w:t>
      </w:r>
    </w:p>
    <w:p w14:paraId="4CE3C656" w14:textId="77777777" w:rsidR="00AE6E14" w:rsidRPr="00DF7DFC" w:rsidRDefault="00AE6E14" w:rsidP="00F00818">
      <w:pPr>
        <w:rPr>
          <w:szCs w:val="21"/>
        </w:rPr>
      </w:pPr>
    </w:p>
    <w:p w14:paraId="16D3B27D" w14:textId="5491695F" w:rsidR="00F00818" w:rsidRPr="00DF7DFC" w:rsidRDefault="002A14D2" w:rsidP="00F00818">
      <w:pPr>
        <w:rPr>
          <w:szCs w:val="21"/>
        </w:rPr>
      </w:pPr>
      <w:r w:rsidRPr="00DF7DFC">
        <w:rPr>
          <w:szCs w:val="21"/>
        </w:rPr>
        <w:t xml:space="preserve">While an 11.2% increase in sales appears to be significant, it </w:t>
      </w:r>
      <w:r w:rsidR="00801B2E" w:rsidRPr="00DF7DFC">
        <w:rPr>
          <w:szCs w:val="21"/>
        </w:rPr>
        <w:t>must</w:t>
      </w:r>
      <w:r w:rsidRPr="00DF7DFC">
        <w:rPr>
          <w:szCs w:val="21"/>
        </w:rPr>
        <w:t xml:space="preserve"> </w:t>
      </w:r>
      <w:proofErr w:type="gramStart"/>
      <w:r w:rsidRPr="00DF7DFC">
        <w:rPr>
          <w:szCs w:val="21"/>
        </w:rPr>
        <w:t>be examined</w:t>
      </w:r>
      <w:proofErr w:type="gramEnd"/>
      <w:r w:rsidRPr="00DF7DFC">
        <w:rPr>
          <w:szCs w:val="21"/>
        </w:rPr>
        <w:t xml:space="preserve"> in context</w:t>
      </w:r>
      <w:r w:rsidR="00F00818" w:rsidRPr="00DF7DFC">
        <w:rPr>
          <w:szCs w:val="21"/>
        </w:rPr>
        <w:t>.</w:t>
      </w:r>
      <w:r w:rsidRPr="00DF7DFC">
        <w:rPr>
          <w:szCs w:val="21"/>
        </w:rPr>
        <w:t xml:space="preserve"> When interest rates increased from around 3% to 6% in mid-2022, sales dropped 18.6% </w:t>
      </w:r>
      <w:r w:rsidR="00801B2E" w:rsidRPr="00DF7DFC">
        <w:rPr>
          <w:szCs w:val="21"/>
        </w:rPr>
        <w:t xml:space="preserve">by 2023. Put another way, sales went from 20,368 in 2022 to 16,586 in 2023; and they have not bounced back to 2022’s level since </w:t>
      </w:r>
      <w:r w:rsidR="00801B2E" w:rsidRPr="00DF7DFC">
        <w:rPr>
          <w:i/>
          <w:iCs/>
          <w:sz w:val="20"/>
          <w:szCs w:val="20"/>
        </w:rPr>
        <w:t>(see graph ‘Q1 4 County Unit Sales’)</w:t>
      </w:r>
      <w:r w:rsidR="00801B2E" w:rsidRPr="00DF7DFC">
        <w:rPr>
          <w:szCs w:val="21"/>
        </w:rPr>
        <w:t>.</w:t>
      </w:r>
    </w:p>
    <w:p w14:paraId="322CC9A4" w14:textId="77777777" w:rsidR="00F00818" w:rsidRPr="00DF7DFC" w:rsidRDefault="00F00818" w:rsidP="00F00818">
      <w:pPr>
        <w:rPr>
          <w:szCs w:val="21"/>
        </w:rPr>
      </w:pPr>
    </w:p>
    <w:p w14:paraId="446DDA0A" w14:textId="56AB197A" w:rsidR="009A666F" w:rsidRPr="00DF7DFC" w:rsidRDefault="009A666F" w:rsidP="00F00818">
      <w:pPr>
        <w:rPr>
          <w:szCs w:val="21"/>
        </w:rPr>
      </w:pPr>
      <w:r w:rsidRPr="00DF7DFC">
        <w:rPr>
          <w:szCs w:val="21"/>
        </w:rPr>
        <w:t>The real news is on the listing side. The metropolitan market saw substantial increases in listings in both March and through the first quarter</w:t>
      </w:r>
      <w:r w:rsidR="00277DD7" w:rsidRPr="00DF7DFC">
        <w:rPr>
          <w:szCs w:val="21"/>
        </w:rPr>
        <w:t xml:space="preserve"> of the year</w:t>
      </w:r>
      <w:r w:rsidRPr="00DF7DFC">
        <w:rPr>
          <w:szCs w:val="21"/>
        </w:rPr>
        <w:t xml:space="preserve">. </w:t>
      </w:r>
    </w:p>
    <w:p w14:paraId="0AF6F00C" w14:textId="3E0703E7" w:rsidR="009A666F" w:rsidRDefault="00DF7DFC" w:rsidP="00F0081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85B078" wp14:editId="23B3A6B2">
                <wp:simplePos x="0" y="0"/>
                <wp:positionH relativeFrom="column">
                  <wp:posOffset>9524</wp:posOffset>
                </wp:positionH>
                <wp:positionV relativeFrom="paragraph">
                  <wp:posOffset>95885</wp:posOffset>
                </wp:positionV>
                <wp:extent cx="2752725" cy="0"/>
                <wp:effectExtent l="0" t="0" r="0" b="0"/>
                <wp:wrapNone/>
                <wp:docPr id="175596896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A087F" id="Straight Connector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55pt" to="217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FC548B6" w14:textId="14E93885" w:rsidR="00225E0C" w:rsidRPr="00225E0C" w:rsidRDefault="00225E0C" w:rsidP="00F00818">
      <w:pPr>
        <w:rPr>
          <w:b/>
          <w:bCs/>
          <w:sz w:val="32"/>
          <w:szCs w:val="32"/>
        </w:rPr>
      </w:pPr>
      <w:r w:rsidRPr="00225E0C">
        <w:rPr>
          <w:b/>
          <w:bCs/>
          <w:sz w:val="32"/>
          <w:szCs w:val="32"/>
        </w:rPr>
        <w:t xml:space="preserve">This quarter there were 5,050 listings. </w:t>
      </w:r>
      <w:proofErr w:type="gramStart"/>
      <w:r w:rsidRPr="00225E0C">
        <w:rPr>
          <w:b/>
          <w:bCs/>
          <w:sz w:val="32"/>
          <w:szCs w:val="32"/>
        </w:rPr>
        <w:t>Possibly a</w:t>
      </w:r>
      <w:proofErr w:type="gramEnd"/>
      <w:r w:rsidRPr="00225E0C">
        <w:rPr>
          <w:b/>
          <w:bCs/>
          <w:sz w:val="32"/>
          <w:szCs w:val="32"/>
        </w:rPr>
        <w:t xml:space="preserve"> sign that sellers have taken their foot off the brake.</w:t>
      </w:r>
    </w:p>
    <w:p w14:paraId="37B6776F" w14:textId="522A00AF" w:rsidR="00225E0C" w:rsidRDefault="00DF7DFC" w:rsidP="00F0081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0E6839" wp14:editId="0D9913BD">
                <wp:simplePos x="0" y="0"/>
                <wp:positionH relativeFrom="column">
                  <wp:posOffset>9525</wp:posOffset>
                </wp:positionH>
                <wp:positionV relativeFrom="paragraph">
                  <wp:posOffset>72390</wp:posOffset>
                </wp:positionV>
                <wp:extent cx="2752725" cy="0"/>
                <wp:effectExtent l="0" t="0" r="0" b="0"/>
                <wp:wrapNone/>
                <wp:docPr id="104033228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D1F94" id="Straight Connector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.7pt" to="217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2733416" w14:textId="30E88560" w:rsidR="00F00818" w:rsidRDefault="009A666F" w:rsidP="00F00818">
      <w:r>
        <w:t>For March the</w:t>
      </w:r>
      <w:r w:rsidR="006E47E9">
        <w:t xml:space="preserve">re was </w:t>
      </w:r>
      <w:r>
        <w:t xml:space="preserve">a 14.9% increase in listings, </w:t>
      </w:r>
      <w:r w:rsidR="00277DD7">
        <w:t>led</w:t>
      </w:r>
      <w:r>
        <w:t xml:space="preserve"> by a whopping 29.9% surge in Waukesha County. </w:t>
      </w:r>
      <w:r w:rsidR="00277DD7">
        <w:t xml:space="preserve">Through the first quarter, Waukesha County again </w:t>
      </w:r>
      <w:r w:rsidR="00257E75">
        <w:t xml:space="preserve">steered </w:t>
      </w:r>
      <w:r w:rsidR="00277DD7">
        <w:t xml:space="preserve">the </w:t>
      </w:r>
      <w:r w:rsidR="00257E75">
        <w:t>way</w:t>
      </w:r>
      <w:r w:rsidR="00277DD7">
        <w:t xml:space="preserve"> with a 22.1% increase, amidst an overall increase of 11.8% </w:t>
      </w:r>
      <w:r w:rsidR="006E47E9">
        <w:t>in</w:t>
      </w:r>
      <w:r w:rsidR="00F00818">
        <w:t xml:space="preserve"> the four-county area.</w:t>
      </w:r>
    </w:p>
    <w:p w14:paraId="6E7B9231" w14:textId="77777777" w:rsidR="00F00818" w:rsidRDefault="00F00818" w:rsidP="00F00818"/>
    <w:tbl>
      <w:tblPr>
        <w:tblpPr w:leftFromText="288" w:rightFromText="72" w:bottomFromText="115" w:vertAnchor="text" w:horzAnchor="margin" w:tblpXSpec="right" w:tblpY="97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22"/>
        <w:gridCol w:w="993"/>
      </w:tblGrid>
      <w:tr w:rsidR="00DF7DFC" w:rsidRPr="00D42F01" w14:paraId="2B06E92E" w14:textId="77777777" w:rsidTr="00DF7DFC">
        <w:trPr>
          <w:trHeight w:val="36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9AD37" w14:textId="77777777" w:rsidR="00DF7DFC" w:rsidRPr="00D42F01" w:rsidRDefault="00DF7DFC" w:rsidP="00DF7DFC">
            <w:pPr>
              <w:spacing w:line="252" w:lineRule="auto"/>
              <w:ind w:left="-105" w:right="-9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</w:rPr>
              <w:t>1</w:t>
            </w:r>
            <w:r w:rsidRPr="006D2AF9">
              <w:rPr>
                <w:rFonts w:ascii="Arial" w:hAnsi="Arial" w:cs="Arial"/>
                <w:b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2"/>
              </w:rPr>
              <w:t xml:space="preserve"> Qtr Listings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C3BB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(Jan 1 –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Mar </w:t>
            </w:r>
            <w:r w:rsidRPr="005C3BB5">
              <w:rPr>
                <w:rFonts w:ascii="Arial" w:eastAsia="Calibri" w:hAnsi="Arial" w:cs="Arial"/>
                <w:bCs/>
                <w:sz w:val="18"/>
                <w:szCs w:val="18"/>
              </w:rPr>
              <w:t>3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  <w:r w:rsidRPr="005C3BB5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</w:tr>
      <w:tr w:rsidR="00DF7DFC" w:rsidRPr="00D42F01" w14:paraId="73A076F5" w14:textId="77777777" w:rsidTr="00DF7DF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432C4727" w14:textId="77777777" w:rsidR="00DF7DFC" w:rsidRPr="00D42F01" w:rsidRDefault="00DF7DFC" w:rsidP="00DF7DFC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D42F01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27AE9" w14:textId="77777777" w:rsidR="00DF7DFC" w:rsidRPr="00D42F01" w:rsidRDefault="00DF7DFC" w:rsidP="00DF7DFC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92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20B06" w14:textId="77777777" w:rsidR="00DF7DFC" w:rsidRPr="00D42F01" w:rsidRDefault="00DF7DFC" w:rsidP="00DF7DFC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1B0D9882" w14:textId="77777777" w:rsidR="00DF7DFC" w:rsidRPr="00D42F01" w:rsidRDefault="00DF7DFC" w:rsidP="00DF7DFC">
            <w:pPr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B59A4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DF7DFC" w:rsidRPr="00D42F01" w14:paraId="06E0AA71" w14:textId="77777777" w:rsidTr="00DF7DF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09CFF" w14:textId="77777777" w:rsidR="00DF7DFC" w:rsidRPr="00D42F01" w:rsidRDefault="00DF7DFC" w:rsidP="00DF7D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3D68D" w14:textId="77777777" w:rsidR="00DF7DFC" w:rsidRPr="006D2AF9" w:rsidRDefault="00DF7DFC" w:rsidP="00DF7D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2,730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AB910" w14:textId="77777777" w:rsidR="00DF7DFC" w:rsidRPr="006D2AF9" w:rsidRDefault="00DF7DFC" w:rsidP="00DF7DFC">
            <w:pPr>
              <w:spacing w:line="252" w:lineRule="auto"/>
              <w:ind w:right="-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3,008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BA6C7C" w14:textId="77777777" w:rsidR="00DF7DFC" w:rsidRPr="006D2AF9" w:rsidRDefault="00DF7DFC" w:rsidP="00DF7D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10.2%</w:t>
            </w:r>
          </w:p>
        </w:tc>
      </w:tr>
      <w:tr w:rsidR="00DF7DFC" w:rsidRPr="00D42F01" w14:paraId="3E06957B" w14:textId="77777777" w:rsidTr="00DF7DF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758E9" w14:textId="77777777" w:rsidR="00DF7DFC" w:rsidRPr="00D42F01" w:rsidRDefault="00DF7DFC" w:rsidP="00DF7D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D4C2" w14:textId="77777777" w:rsidR="00DF7DFC" w:rsidRPr="006D2AF9" w:rsidRDefault="00DF7DFC" w:rsidP="00DF7D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1,073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108E4" w14:textId="77777777" w:rsidR="00DF7DFC" w:rsidRPr="006D2AF9" w:rsidRDefault="00DF7DFC" w:rsidP="00DF7DFC">
            <w:pPr>
              <w:spacing w:line="252" w:lineRule="auto"/>
              <w:ind w:right="-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1,310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09EFAC2" w14:textId="77777777" w:rsidR="00DF7DFC" w:rsidRPr="006D2AF9" w:rsidRDefault="00DF7DFC" w:rsidP="00DF7D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22.1%</w:t>
            </w:r>
          </w:p>
        </w:tc>
      </w:tr>
      <w:tr w:rsidR="00DF7DFC" w:rsidRPr="00D42F01" w14:paraId="07B73223" w14:textId="77777777" w:rsidTr="00DF7DF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16195" w14:textId="77777777" w:rsidR="00DF7DFC" w:rsidRPr="00D42F01" w:rsidRDefault="00DF7DFC" w:rsidP="00DF7D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590F" w14:textId="77777777" w:rsidR="00DF7DFC" w:rsidRPr="006D2AF9" w:rsidRDefault="00DF7DFC" w:rsidP="00DF7D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288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A7CAC" w14:textId="77777777" w:rsidR="00DF7DFC" w:rsidRPr="006D2AF9" w:rsidRDefault="00DF7DFC" w:rsidP="00DF7DFC">
            <w:pPr>
              <w:spacing w:line="252" w:lineRule="auto"/>
              <w:ind w:right="-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297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9DC5B9" w14:textId="77777777" w:rsidR="00DF7DFC" w:rsidRPr="006D2AF9" w:rsidRDefault="00DF7DFC" w:rsidP="00DF7D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3.1%</w:t>
            </w:r>
          </w:p>
        </w:tc>
      </w:tr>
      <w:tr w:rsidR="00DF7DFC" w:rsidRPr="00D42F01" w14:paraId="37A24687" w14:textId="77777777" w:rsidTr="00DF7DF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B19B8" w14:textId="77777777" w:rsidR="00DF7DFC" w:rsidRPr="00D42F01" w:rsidRDefault="00DF7DFC" w:rsidP="00DF7D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679BE" w14:textId="77777777" w:rsidR="00DF7DFC" w:rsidRPr="006D2AF9" w:rsidRDefault="00DF7DFC" w:rsidP="00DF7D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425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35F4" w14:textId="77777777" w:rsidR="00DF7DFC" w:rsidRPr="006D2AF9" w:rsidRDefault="00DF7DFC" w:rsidP="00DF7DFC">
            <w:pPr>
              <w:spacing w:line="252" w:lineRule="auto"/>
              <w:ind w:right="-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435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1F7B9DE" w14:textId="77777777" w:rsidR="00DF7DFC" w:rsidRPr="006D2AF9" w:rsidRDefault="00DF7DFC" w:rsidP="00DF7D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2.4%</w:t>
            </w:r>
          </w:p>
        </w:tc>
      </w:tr>
      <w:tr w:rsidR="00DF7DFC" w:rsidRPr="00D42F01" w14:paraId="22CDD4EA" w14:textId="77777777" w:rsidTr="00DF7DFC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86A74" w14:textId="77777777" w:rsidR="00DF7DFC" w:rsidRPr="00D42F01" w:rsidRDefault="00DF7DFC" w:rsidP="00DF7D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8D3F0" w14:textId="77777777" w:rsidR="00DF7DFC" w:rsidRPr="006D2AF9" w:rsidRDefault="00DF7DFC" w:rsidP="00DF7D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4,516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51F7" w14:textId="77777777" w:rsidR="00DF7DFC" w:rsidRPr="006D2AF9" w:rsidRDefault="00DF7DFC" w:rsidP="00DF7DFC">
            <w:pPr>
              <w:spacing w:line="252" w:lineRule="auto"/>
              <w:ind w:right="-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5,050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E037EA" w14:textId="77777777" w:rsidR="00DF7DFC" w:rsidRPr="006D2AF9" w:rsidRDefault="00DF7DFC" w:rsidP="00DF7D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11.8%</w:t>
            </w:r>
          </w:p>
        </w:tc>
      </w:tr>
      <w:tr w:rsidR="00DF7DFC" w:rsidRPr="00D42F01" w14:paraId="0BECBDF7" w14:textId="77777777" w:rsidTr="00DF7DFC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DE4BB" w14:textId="77777777" w:rsidR="00DF7DFC" w:rsidRPr="00620A04" w:rsidRDefault="00DF7DFC" w:rsidP="00DF7D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F7DFC" w:rsidRPr="00D42F01" w14:paraId="286B5696" w14:textId="77777777" w:rsidTr="00DF7DF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07304" w14:textId="77777777" w:rsidR="00DF7DFC" w:rsidRPr="00D42F01" w:rsidRDefault="00DF7DFC" w:rsidP="00DF7D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Sheboygan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2278" w14:textId="77777777" w:rsidR="00DF7DFC" w:rsidRPr="006D2AF9" w:rsidRDefault="00DF7DFC" w:rsidP="00DF7DFC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281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32FC0A0B" w14:textId="77777777" w:rsidR="00DF7DFC" w:rsidRPr="006D2AF9" w:rsidRDefault="00DF7DFC" w:rsidP="00DF7DFC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278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1A2789" w14:textId="77777777" w:rsidR="00DF7DFC" w:rsidRPr="006D2AF9" w:rsidRDefault="00DF7DFC" w:rsidP="00DF7D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-1.1%</w:t>
            </w:r>
          </w:p>
        </w:tc>
      </w:tr>
      <w:tr w:rsidR="00DF7DFC" w:rsidRPr="00D42F01" w14:paraId="0A3541E3" w14:textId="77777777" w:rsidTr="00DF7DF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58B97" w14:textId="77777777" w:rsidR="00DF7DFC" w:rsidRPr="00D42F01" w:rsidRDefault="00DF7DFC" w:rsidP="00DF7D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8E430" w14:textId="77777777" w:rsidR="00DF7DFC" w:rsidRPr="006D2AF9" w:rsidRDefault="00DF7DFC" w:rsidP="00DF7DFC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617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0C6F875" w14:textId="77777777" w:rsidR="00DF7DFC" w:rsidRPr="006D2AF9" w:rsidRDefault="00DF7DFC" w:rsidP="00DF7DFC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603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C364D03" w14:textId="77777777" w:rsidR="00DF7DFC" w:rsidRPr="006D2AF9" w:rsidRDefault="00DF7DFC" w:rsidP="00DF7D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-2.3%</w:t>
            </w:r>
          </w:p>
        </w:tc>
      </w:tr>
      <w:tr w:rsidR="00DF7DFC" w:rsidRPr="00D42F01" w14:paraId="203A5D65" w14:textId="77777777" w:rsidTr="00DF7DF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541E" w14:textId="77777777" w:rsidR="00DF7DFC" w:rsidRPr="00D42F01" w:rsidRDefault="00DF7DFC" w:rsidP="00DF7D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0D4A5" w14:textId="77777777" w:rsidR="00DF7DFC" w:rsidRPr="006D2AF9" w:rsidRDefault="00DF7DFC" w:rsidP="00DF7DFC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370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40EA9E4D" w14:textId="77777777" w:rsidR="00DF7DFC" w:rsidRPr="006D2AF9" w:rsidRDefault="00DF7DFC" w:rsidP="00DF7DFC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411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C7BA15" w14:textId="77777777" w:rsidR="00DF7DFC" w:rsidRPr="006D2AF9" w:rsidRDefault="00DF7DFC" w:rsidP="00DF7D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11.1%</w:t>
            </w:r>
          </w:p>
        </w:tc>
      </w:tr>
      <w:tr w:rsidR="00DF7DFC" w:rsidRPr="00D42F01" w14:paraId="5CE5F0E7" w14:textId="77777777" w:rsidTr="00DF7DF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DB425" w14:textId="77777777" w:rsidR="00DF7DFC" w:rsidRPr="00D42F01" w:rsidRDefault="00DF7DFC" w:rsidP="00DF7D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E214" w14:textId="77777777" w:rsidR="00DF7DFC" w:rsidRPr="006D2AF9" w:rsidRDefault="00DF7DFC" w:rsidP="00DF7DFC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437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AB2162C" w14:textId="77777777" w:rsidR="00DF7DFC" w:rsidRPr="006D2AF9" w:rsidRDefault="00DF7DFC" w:rsidP="00DF7DFC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455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D0967F5" w14:textId="77777777" w:rsidR="00DF7DFC" w:rsidRPr="006D2AF9" w:rsidRDefault="00DF7DFC" w:rsidP="00DF7D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4.1%</w:t>
            </w:r>
          </w:p>
        </w:tc>
      </w:tr>
      <w:tr w:rsidR="00DF7DFC" w:rsidRPr="00D42F01" w14:paraId="6BFCFD85" w14:textId="77777777" w:rsidTr="00DF7DFC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7B205" w14:textId="77777777" w:rsidR="00DF7DFC" w:rsidRPr="00D42F01" w:rsidRDefault="00DF7DFC" w:rsidP="00DF7D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5D6E" w14:textId="77777777" w:rsidR="00DF7DFC" w:rsidRPr="006D2AF9" w:rsidRDefault="00DF7DFC" w:rsidP="00DF7DFC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6,221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EE294B" w14:textId="77777777" w:rsidR="00DF7DFC" w:rsidRPr="006D2AF9" w:rsidRDefault="00DF7DFC" w:rsidP="00DF7DFC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 xml:space="preserve"> 6,797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FB2DE0A" w14:textId="77777777" w:rsidR="00DF7DFC" w:rsidRPr="006D2AF9" w:rsidRDefault="00DF7DFC" w:rsidP="00DF7D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9.3%</w:t>
            </w:r>
          </w:p>
        </w:tc>
      </w:tr>
      <w:tr w:rsidR="00DF7DFC" w:rsidRPr="00D42F01" w14:paraId="2D35B6B9" w14:textId="77777777" w:rsidTr="00DF7DFC">
        <w:trPr>
          <w:trHeight w:val="144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6D9FD" w14:textId="77777777" w:rsidR="00DF7DFC" w:rsidRPr="00D42F01" w:rsidRDefault="00DF7DFC" w:rsidP="00DF7DFC">
            <w:pPr>
              <w:spacing w:line="252" w:lineRule="auto"/>
              <w:ind w:right="19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F7DFC" w:rsidRPr="00D42F01" w14:paraId="6BF4AFE3" w14:textId="77777777" w:rsidTr="00DF7DFC">
        <w:trPr>
          <w:trHeight w:val="360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F9BB2" w14:textId="77777777" w:rsidR="00DF7DFC" w:rsidRPr="00D42F01" w:rsidRDefault="00DF7DFC" w:rsidP="00DF7DFC">
            <w:pPr>
              <w:spacing w:line="252" w:lineRule="auto"/>
              <w:ind w:left="-105" w:right="-90"/>
              <w:rPr>
                <w:rFonts w:ascii="Arial" w:hAnsi="Arial" w:cs="Arial"/>
                <w:sz w:val="22"/>
              </w:rPr>
            </w:pPr>
            <w:r w:rsidRPr="00D42F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March</w:t>
            </w:r>
            <w:r w:rsidRPr="00D42F01">
              <w:rPr>
                <w:rFonts w:ascii="Arial" w:hAnsi="Arial" w:cs="Arial"/>
                <w:b/>
                <w:bCs/>
                <w:sz w:val="22"/>
              </w:rPr>
              <w:t xml:space="preserve"> Listings</w:t>
            </w:r>
          </w:p>
        </w:tc>
      </w:tr>
      <w:tr w:rsidR="00DF7DFC" w:rsidRPr="00D42F01" w14:paraId="7DDF659F" w14:textId="77777777" w:rsidTr="00DF7DF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C8876" w14:textId="77777777" w:rsidR="00DF7DFC" w:rsidRPr="00D42F01" w:rsidRDefault="00DF7DFC" w:rsidP="00DF7DFC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42F01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BD295" w14:textId="77777777" w:rsidR="00DF7DFC" w:rsidRPr="00D42F01" w:rsidRDefault="00DF7DFC" w:rsidP="00DF7DFC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92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82A956A" w14:textId="77777777" w:rsidR="00DF7DFC" w:rsidRPr="00D42F01" w:rsidRDefault="00DF7DFC" w:rsidP="00DF7DFC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24B2E3F1" w14:textId="77777777" w:rsidR="00DF7DFC" w:rsidRPr="00D42F01" w:rsidRDefault="00DF7DFC" w:rsidP="00DF7DFC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B59A4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DF7DFC" w:rsidRPr="00D42F01" w14:paraId="4114BD9F" w14:textId="77777777" w:rsidTr="00DF7DFC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7321" w14:textId="77777777" w:rsidR="00DF7DFC" w:rsidRPr="00D42F01" w:rsidRDefault="00DF7DFC" w:rsidP="00DF7D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A843" w14:textId="77777777" w:rsidR="00DF7DFC" w:rsidRPr="006D2AF9" w:rsidRDefault="00DF7DFC" w:rsidP="00DF7D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1,052</w:t>
            </w:r>
          </w:p>
        </w:tc>
        <w:tc>
          <w:tcPr>
            <w:tcW w:w="92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</w:tcPr>
          <w:p w14:paraId="0456BBC7" w14:textId="77777777" w:rsidR="00DF7DFC" w:rsidRPr="006D2AF9" w:rsidRDefault="00DF7DFC" w:rsidP="00DF7DFC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1,167</w:t>
            </w:r>
          </w:p>
        </w:tc>
        <w:tc>
          <w:tcPr>
            <w:tcW w:w="99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</w:tcPr>
          <w:p w14:paraId="0E6E85EE" w14:textId="77777777" w:rsidR="00DF7DFC" w:rsidRPr="006D2AF9" w:rsidRDefault="00DF7DFC" w:rsidP="00DF7D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10.9%</w:t>
            </w:r>
          </w:p>
        </w:tc>
      </w:tr>
      <w:tr w:rsidR="00DF7DFC" w:rsidRPr="00D42F01" w14:paraId="136562DC" w14:textId="77777777" w:rsidTr="00DF7DF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B6583" w14:textId="77777777" w:rsidR="00DF7DFC" w:rsidRPr="00D42F01" w:rsidRDefault="00DF7DFC" w:rsidP="00DF7D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229E1" w14:textId="77777777" w:rsidR="00DF7DFC" w:rsidRPr="006D2AF9" w:rsidRDefault="00DF7DFC" w:rsidP="00DF7D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A7D8E08" w14:textId="77777777" w:rsidR="00DF7DFC" w:rsidRPr="006D2AF9" w:rsidRDefault="00DF7DFC" w:rsidP="00DF7DFC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DBE94F4" w14:textId="77777777" w:rsidR="00DF7DFC" w:rsidRPr="006D2AF9" w:rsidRDefault="00DF7DFC" w:rsidP="00DF7D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29.9%</w:t>
            </w:r>
          </w:p>
        </w:tc>
      </w:tr>
      <w:tr w:rsidR="00DF7DFC" w:rsidRPr="00D42F01" w14:paraId="2F418F16" w14:textId="77777777" w:rsidTr="00DF7DF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E3C1C" w14:textId="77777777" w:rsidR="00DF7DFC" w:rsidRPr="00D42F01" w:rsidRDefault="00DF7DFC" w:rsidP="00DF7D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BBC3" w14:textId="77777777" w:rsidR="00DF7DFC" w:rsidRPr="006D2AF9" w:rsidRDefault="00DF7DFC" w:rsidP="00DF7D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34C40D85" w14:textId="77777777" w:rsidR="00DF7DFC" w:rsidRPr="006D2AF9" w:rsidRDefault="00DF7DFC" w:rsidP="00DF7DFC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476D86" w14:textId="77777777" w:rsidR="00DF7DFC" w:rsidRPr="006D2AF9" w:rsidRDefault="00DF7DFC" w:rsidP="00DF7D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9.2%</w:t>
            </w:r>
          </w:p>
        </w:tc>
      </w:tr>
      <w:tr w:rsidR="00DF7DFC" w:rsidRPr="00D42F01" w14:paraId="3003B8D5" w14:textId="77777777" w:rsidTr="00DF7DF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1DEE" w14:textId="77777777" w:rsidR="00DF7DFC" w:rsidRPr="00D42F01" w:rsidRDefault="00DF7DFC" w:rsidP="00DF7D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EC43" w14:textId="77777777" w:rsidR="00DF7DFC" w:rsidRPr="006D2AF9" w:rsidRDefault="00DF7DFC" w:rsidP="00DF7D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14:paraId="300F6DAE" w14:textId="77777777" w:rsidR="00DF7DFC" w:rsidRPr="006D2AF9" w:rsidRDefault="00DF7DFC" w:rsidP="00DF7DFC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5AEF790C" w14:textId="77777777" w:rsidR="00DF7DFC" w:rsidRPr="006D2AF9" w:rsidRDefault="00DF7DFC" w:rsidP="00DF7D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7.5%</w:t>
            </w:r>
          </w:p>
        </w:tc>
      </w:tr>
      <w:tr w:rsidR="00DF7DFC" w:rsidRPr="00D42F01" w14:paraId="43A2E07A" w14:textId="77777777" w:rsidTr="00DF7DFC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6A217" w14:textId="77777777" w:rsidR="00DF7DFC" w:rsidRPr="00D42F01" w:rsidRDefault="00DF7DFC" w:rsidP="00DF7D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5169C" w14:textId="77777777" w:rsidR="00DF7DFC" w:rsidRPr="006D2AF9" w:rsidRDefault="00DF7DFC" w:rsidP="00DF7D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1,728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138BC" w14:textId="77777777" w:rsidR="00DF7DFC" w:rsidRPr="006D2AF9" w:rsidRDefault="00DF7DFC" w:rsidP="00DF7DFC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1,986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BA6AE1" w14:textId="77777777" w:rsidR="00DF7DFC" w:rsidRPr="006D2AF9" w:rsidRDefault="00DF7DFC" w:rsidP="00DF7D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14.9%</w:t>
            </w:r>
          </w:p>
        </w:tc>
      </w:tr>
      <w:tr w:rsidR="00DF7DFC" w:rsidRPr="00D42F01" w14:paraId="0E2916A6" w14:textId="77777777" w:rsidTr="00DF7DFC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A7EA3" w14:textId="77777777" w:rsidR="00DF7DFC" w:rsidRPr="006D2AF9" w:rsidRDefault="00DF7DFC" w:rsidP="00DF7D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F7DFC" w:rsidRPr="00D42F01" w14:paraId="3F98C6FE" w14:textId="77777777" w:rsidTr="00DF7DF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9334" w14:textId="77777777" w:rsidR="00DF7DFC" w:rsidRPr="00D42F01" w:rsidRDefault="00DF7DFC" w:rsidP="00DF7D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Sheboygan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A14DE" w14:textId="77777777" w:rsidR="00DF7DFC" w:rsidRPr="006D2AF9" w:rsidRDefault="00DF7DFC" w:rsidP="00DF7D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3FDF86D4" w14:textId="77777777" w:rsidR="00DF7DFC" w:rsidRPr="006D2AF9" w:rsidRDefault="00DF7DFC" w:rsidP="00DF7DFC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44485B" w14:textId="77777777" w:rsidR="00DF7DFC" w:rsidRPr="006D2AF9" w:rsidRDefault="00DF7DFC" w:rsidP="00DF7D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</w:tr>
      <w:tr w:rsidR="00DF7DFC" w:rsidRPr="00D42F01" w14:paraId="0C1EFEFA" w14:textId="77777777" w:rsidTr="00DF7DF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6C288" w14:textId="77777777" w:rsidR="00DF7DFC" w:rsidRPr="00D42F01" w:rsidRDefault="00DF7DFC" w:rsidP="00DF7D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C773" w14:textId="77777777" w:rsidR="00DF7DFC" w:rsidRPr="006D2AF9" w:rsidRDefault="00DF7DFC" w:rsidP="00DF7D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FBD8422" w14:textId="77777777" w:rsidR="00DF7DFC" w:rsidRPr="006D2AF9" w:rsidRDefault="00DF7DFC" w:rsidP="00DF7DFC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482E1D8" w14:textId="77777777" w:rsidR="00DF7DFC" w:rsidRPr="006D2AF9" w:rsidRDefault="00DF7DFC" w:rsidP="00DF7D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8.5%</w:t>
            </w:r>
          </w:p>
        </w:tc>
      </w:tr>
      <w:tr w:rsidR="00DF7DFC" w:rsidRPr="00D42F01" w14:paraId="1864CA13" w14:textId="77777777" w:rsidTr="00DF7DF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878B1" w14:textId="77777777" w:rsidR="00DF7DFC" w:rsidRPr="00D42F01" w:rsidRDefault="00DF7DFC" w:rsidP="00DF7D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D6CC" w14:textId="77777777" w:rsidR="00DF7DFC" w:rsidRPr="006D2AF9" w:rsidRDefault="00DF7DFC" w:rsidP="00DF7D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4FFF284D" w14:textId="77777777" w:rsidR="00DF7DFC" w:rsidRPr="006D2AF9" w:rsidRDefault="00DF7DFC" w:rsidP="00DF7DFC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B9E3CC" w14:textId="77777777" w:rsidR="00DF7DFC" w:rsidRPr="006D2AF9" w:rsidRDefault="00DF7DFC" w:rsidP="00DF7D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8.0%</w:t>
            </w:r>
          </w:p>
        </w:tc>
      </w:tr>
      <w:tr w:rsidR="00DF7DFC" w:rsidRPr="00D42F01" w14:paraId="073E28ED" w14:textId="77777777" w:rsidTr="00DF7DF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900E2" w14:textId="77777777" w:rsidR="00DF7DFC" w:rsidRPr="00D42F01" w:rsidRDefault="00DF7DFC" w:rsidP="00DF7D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D0F8" w14:textId="77777777" w:rsidR="00DF7DFC" w:rsidRPr="006D2AF9" w:rsidRDefault="00DF7DFC" w:rsidP="00DF7D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14:paraId="4CC47F1A" w14:textId="77777777" w:rsidR="00DF7DFC" w:rsidRPr="006D2AF9" w:rsidRDefault="00DF7DFC" w:rsidP="00DF7DFC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94CED73" w14:textId="77777777" w:rsidR="00DF7DFC" w:rsidRPr="006D2AF9" w:rsidRDefault="00DF7DFC" w:rsidP="00DF7D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-0.5%</w:t>
            </w:r>
          </w:p>
        </w:tc>
      </w:tr>
      <w:tr w:rsidR="00DF7DFC" w:rsidRPr="00D42F01" w14:paraId="7977B247" w14:textId="77777777" w:rsidTr="00DF7DFC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BEE5" w14:textId="77777777" w:rsidR="00DF7DFC" w:rsidRPr="00D42F01" w:rsidRDefault="00DF7DFC" w:rsidP="00DF7DF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5D3E" w14:textId="77777777" w:rsidR="00DF7DFC" w:rsidRPr="006D2AF9" w:rsidRDefault="00DF7DFC" w:rsidP="00DF7DF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2,383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1C559" w14:textId="77777777" w:rsidR="00DF7DFC" w:rsidRPr="006D2AF9" w:rsidRDefault="00DF7DFC" w:rsidP="00DF7DFC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2,670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DCDF85" w14:textId="77777777" w:rsidR="00DF7DFC" w:rsidRPr="006D2AF9" w:rsidRDefault="00DF7DFC" w:rsidP="00DF7DF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2AF9">
              <w:rPr>
                <w:rFonts w:ascii="Arial" w:hAnsi="Arial" w:cs="Arial"/>
                <w:sz w:val="20"/>
                <w:szCs w:val="20"/>
              </w:rPr>
              <w:t>12.0%</w:t>
            </w:r>
          </w:p>
        </w:tc>
      </w:tr>
    </w:tbl>
    <w:p w14:paraId="50EEA8F8" w14:textId="77777777" w:rsidR="00225E0C" w:rsidRDefault="00225E0C" w:rsidP="006E47E9">
      <w:r>
        <w:t xml:space="preserve">In the first quarter of 2022 (before interest rates increased) there were 5,167 new listings in the metropolitan market. This quarter there were 5,050 listings. </w:t>
      </w:r>
      <w:proofErr w:type="gramStart"/>
      <w:r>
        <w:t>Possibly a</w:t>
      </w:r>
      <w:proofErr w:type="gramEnd"/>
      <w:r>
        <w:t xml:space="preserve"> sign that sellers have taken their foot off the brake. </w:t>
      </w:r>
    </w:p>
    <w:p w14:paraId="0084E6FD" w14:textId="77777777" w:rsidR="00225E0C" w:rsidRDefault="00225E0C" w:rsidP="006E47E9"/>
    <w:p w14:paraId="637906CB" w14:textId="011F5B23" w:rsidR="00DF7DFC" w:rsidRDefault="00DF7DFC" w:rsidP="00F00818">
      <w:r>
        <w:t>While more listings are welcome news, t</w:t>
      </w:r>
      <w:r w:rsidR="00257E75">
        <w:t>he increase</w:t>
      </w:r>
      <w:r w:rsidR="00F3700A">
        <w:t xml:space="preserve"> </w:t>
      </w:r>
      <w:proofErr w:type="gramStart"/>
      <w:r w:rsidR="00F3700A">
        <w:t>was</w:t>
      </w:r>
      <w:r w:rsidR="00257E75">
        <w:t xml:space="preserve"> absorbed</w:t>
      </w:r>
      <w:proofErr w:type="gramEnd"/>
      <w:r w:rsidR="00257E75">
        <w:t xml:space="preserve"> into the market right away, with no relief on pricing. </w:t>
      </w:r>
    </w:p>
    <w:p w14:paraId="552B008A" w14:textId="77777777" w:rsidR="00DF7DFC" w:rsidRDefault="00DF7DFC" w:rsidP="00F00818"/>
    <w:p w14:paraId="3C72FE48" w14:textId="35067E60" w:rsidR="00257E75" w:rsidRDefault="00257E75" w:rsidP="00F00818">
      <w:r>
        <w:t xml:space="preserve">We can tell that by looking at the “days on market” (DOM), the time between when a listing contract </w:t>
      </w:r>
      <w:proofErr w:type="gramStart"/>
      <w:r>
        <w:t>is signed</w:t>
      </w:r>
      <w:proofErr w:type="gramEnd"/>
      <w:r>
        <w:t xml:space="preserve"> to when a seller accepts an offer. In the first quarter DOM was 38 </w:t>
      </w:r>
      <w:r w:rsidR="002C52EF">
        <w:t xml:space="preserve">days </w:t>
      </w:r>
      <w:r>
        <w:t xml:space="preserve">compared to 34 </w:t>
      </w:r>
      <w:r w:rsidR="002C52EF">
        <w:t xml:space="preserve">days </w:t>
      </w:r>
      <w:r>
        <w:t xml:space="preserve">in </w:t>
      </w:r>
      <w:r w:rsidR="00F00818">
        <w:t>2025</w:t>
      </w:r>
      <w:r>
        <w:t xml:space="preserve">. </w:t>
      </w:r>
      <w:r w:rsidR="002C52EF">
        <w:t xml:space="preserve">DOM equal to six-months would be 180 days. </w:t>
      </w:r>
    </w:p>
    <w:p w14:paraId="5240B384" w14:textId="77777777" w:rsidR="00257E75" w:rsidRDefault="00257E75" w:rsidP="00F00818"/>
    <w:p w14:paraId="689B714B" w14:textId="5EB723E2" w:rsidR="002C52EF" w:rsidRDefault="002C52EF" w:rsidP="00F00818">
      <w:r>
        <w:t xml:space="preserve">Due to the additional listings </w:t>
      </w:r>
      <w:proofErr w:type="gramStart"/>
      <w:r>
        <w:t>being absorbed</w:t>
      </w:r>
      <w:proofErr w:type="gramEnd"/>
      <w:r>
        <w:t xml:space="preserve"> into the market almost immediately, there is no downward pressure on prices. Prices in the four-county area were up 5% through the first quarter</w:t>
      </w:r>
      <w:r w:rsidR="006E47E9">
        <w:t>, y</w:t>
      </w:r>
      <w:r>
        <w:t>ield</w:t>
      </w:r>
      <w:r w:rsidR="006E47E9">
        <w:t>ing</w:t>
      </w:r>
      <w:r>
        <w:t xml:space="preserve"> an average price of </w:t>
      </w:r>
      <w:r w:rsidRPr="002C52EF">
        <w:t>$457,448</w:t>
      </w:r>
      <w:r w:rsidR="006E47E9">
        <w:t xml:space="preserve">. </w:t>
      </w:r>
    </w:p>
    <w:p w14:paraId="3A14ED45" w14:textId="77777777" w:rsidR="002C52EF" w:rsidRDefault="002C52EF" w:rsidP="00F00818"/>
    <w:p w14:paraId="6926334D" w14:textId="32AB18DF" w:rsidR="002C52EF" w:rsidRDefault="00A40AFF" w:rsidP="00F00818">
      <w:r>
        <w:t>Prices</w:t>
      </w:r>
      <w:r w:rsidR="006E47E9">
        <w:t xml:space="preserve"> in the </w:t>
      </w:r>
      <w:r w:rsidR="002C52EF">
        <w:t>7-county SE Wisconsin market area</w:t>
      </w:r>
      <w:r w:rsidR="006E47E9">
        <w:t xml:space="preserve"> were up</w:t>
      </w:r>
      <w:r w:rsidR="00F3700A">
        <w:t xml:space="preserve"> as well, </w:t>
      </w:r>
      <w:r w:rsidR="006E47E9">
        <w:t>6%</w:t>
      </w:r>
      <w:r>
        <w:t>, through</w:t>
      </w:r>
      <w:r w:rsidR="006E47E9">
        <w:t xml:space="preserve"> the first quarter, averaging </w:t>
      </w:r>
      <w:r w:rsidR="006E47E9" w:rsidRPr="006E47E9">
        <w:t>$492,687</w:t>
      </w:r>
      <w:r w:rsidR="006E47E9">
        <w:t xml:space="preserve">. </w:t>
      </w:r>
    </w:p>
    <w:p w14:paraId="65C5CC89" w14:textId="77777777" w:rsidR="002C52EF" w:rsidRDefault="002C52EF" w:rsidP="00F00818"/>
    <w:p w14:paraId="7C673D9A" w14:textId="268DEB83" w:rsidR="00DF7DFC" w:rsidRDefault="00DF7DFC" w:rsidP="00DF7DFC">
      <w:r>
        <w:t xml:space="preserve">With prices increasing and DOM extremely low, we can tell there is strong demand for homes. </w:t>
      </w:r>
      <w:r w:rsidR="00001ECE">
        <w:t xml:space="preserve">The current market has no shortage of buyers; instead, buyers are competing for too few available listings. </w:t>
      </w:r>
    </w:p>
    <w:p w14:paraId="550827F1" w14:textId="37BF5D80" w:rsidR="00E65D35" w:rsidRDefault="00E65D35" w:rsidP="00001ECE">
      <w:pPr>
        <w:ind w:right="-180"/>
      </w:pPr>
    </w:p>
    <w:tbl>
      <w:tblPr>
        <w:tblpPr w:leftFromText="187" w:rightFromText="360" w:topFromText="202" w:bottomFromText="288" w:vertAnchor="text" w:horzAnchor="page" w:tblpX="1441" w:tblpY="92"/>
        <w:tblW w:w="6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1264"/>
        <w:gridCol w:w="1183"/>
        <w:gridCol w:w="1262"/>
        <w:gridCol w:w="992"/>
      </w:tblGrid>
      <w:tr w:rsidR="000666AB" w:rsidRPr="00DE1D23" w14:paraId="42D8160A" w14:textId="77777777" w:rsidTr="000666AB">
        <w:trPr>
          <w:trHeight w:val="360"/>
        </w:trPr>
        <w:tc>
          <w:tcPr>
            <w:tcW w:w="64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BFCA5" w14:textId="6081F76C" w:rsidR="000666AB" w:rsidRPr="00430E07" w:rsidRDefault="000666AB" w:rsidP="000666AB">
            <w:pPr>
              <w:spacing w:line="252" w:lineRule="auto"/>
              <w:contextualSpacing w:val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3732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 w:type="page"/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9445DA">
              <w:rPr>
                <w:rFonts w:ascii="Arial" w:eastAsia="Calibri" w:hAnsi="Arial" w:cs="Arial"/>
                <w:b/>
                <w:bCs/>
                <w:sz w:val="22"/>
              </w:rPr>
              <w:t>1</w:t>
            </w:r>
            <w:r w:rsidR="009445DA" w:rsidRPr="009445DA">
              <w:rPr>
                <w:rFonts w:ascii="Arial" w:eastAsia="Calibri" w:hAnsi="Arial" w:cs="Arial"/>
                <w:b/>
                <w:bCs/>
                <w:sz w:val="22"/>
                <w:vertAlign w:val="superscript"/>
              </w:rPr>
              <w:t>st</w:t>
            </w:r>
            <w:r w:rsidR="009445DA">
              <w:rPr>
                <w:rFonts w:ascii="Arial" w:eastAsia="Calibri" w:hAnsi="Arial" w:cs="Arial"/>
                <w:b/>
                <w:bCs/>
                <w:sz w:val="22"/>
              </w:rPr>
              <w:t xml:space="preserve"> Qtr</w:t>
            </w:r>
            <w:r w:rsidRPr="00D42F01">
              <w:rPr>
                <w:rFonts w:ascii="Arial" w:eastAsia="Calibri" w:hAnsi="Arial" w:cs="Arial"/>
                <w:b/>
                <w:sz w:val="22"/>
              </w:rPr>
              <w:t xml:space="preserve"> Sale Prices</w:t>
            </w:r>
            <w:r w:rsidRPr="005C3BB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(Jan 1 – </w:t>
            </w:r>
            <w:r w:rsidR="009445DA">
              <w:rPr>
                <w:rFonts w:ascii="Arial" w:eastAsia="Calibri" w:hAnsi="Arial" w:cs="Arial"/>
                <w:bCs/>
                <w:sz w:val="18"/>
                <w:szCs w:val="18"/>
              </w:rPr>
              <w:t>Mar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31</w:t>
            </w:r>
            <w:r w:rsidRPr="005C3BB5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</w:tr>
      <w:tr w:rsidR="000666AB" w:rsidRPr="00DE1D23" w14:paraId="20B1C8CB" w14:textId="77777777" w:rsidTr="000666AB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76D25E23" w14:textId="77777777" w:rsidR="000666AB" w:rsidRPr="00DE1D23" w:rsidRDefault="000666AB" w:rsidP="000666AB">
            <w:pPr>
              <w:ind w:left="175" w:right="-15"/>
              <w:contextualSpacing w:val="0"/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County</w:t>
            </w:r>
          </w:p>
        </w:tc>
        <w:tc>
          <w:tcPr>
            <w:tcW w:w="1264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2631E" w14:textId="7F664EE9" w:rsidR="000666AB" w:rsidRPr="00DE1D23" w:rsidRDefault="000666AB" w:rsidP="000666AB">
            <w:pPr>
              <w:spacing w:line="207" w:lineRule="atLeast"/>
              <w:ind w:left="44"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202</w:t>
            </w:r>
            <w:r w:rsidR="006D2AF9">
              <w:rPr>
                <w:rFonts w:ascii="Arial" w:eastAsia="Calibri" w:hAnsi="Arial" w:cs="Arial"/>
                <w:color w:val="FFFFFF"/>
                <w:sz w:val="20"/>
                <w:szCs w:val="20"/>
              </w:rPr>
              <w:t>5</w:t>
            </w:r>
          </w:p>
        </w:tc>
        <w:tc>
          <w:tcPr>
            <w:tcW w:w="118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16038" w14:textId="587B6F37" w:rsidR="000666AB" w:rsidRPr="00DE1D23" w:rsidRDefault="000666AB" w:rsidP="000666AB">
            <w:pPr>
              <w:spacing w:line="207" w:lineRule="atLeast"/>
              <w:ind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202</w:t>
            </w:r>
            <w:r w:rsidR="006D2AF9">
              <w:rPr>
                <w:rFonts w:ascii="Arial" w:eastAsia="Calibri" w:hAnsi="Arial" w:cs="Arial"/>
                <w:color w:val="FFFFFF"/>
                <w:sz w:val="20"/>
                <w:szCs w:val="20"/>
              </w:rPr>
              <w:t>6</w:t>
            </w:r>
          </w:p>
        </w:tc>
        <w:tc>
          <w:tcPr>
            <w:tcW w:w="126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66E53AF4" w14:textId="77777777" w:rsidR="000666AB" w:rsidRPr="00DE1D23" w:rsidRDefault="000666AB" w:rsidP="000666AB">
            <w:pPr>
              <w:ind w:left="89" w:right="60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$ Change</w:t>
            </w:r>
          </w:p>
        </w:tc>
        <w:tc>
          <w:tcPr>
            <w:tcW w:w="99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3139117" w14:textId="77777777" w:rsidR="000666AB" w:rsidRPr="00DE1D23" w:rsidRDefault="000666AB" w:rsidP="000666AB">
            <w:pPr>
              <w:ind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B59A4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9445DA" w:rsidRPr="00DE1D23" w14:paraId="232C60A2" w14:textId="77777777" w:rsidTr="00860766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0D862" w14:textId="77777777" w:rsidR="009445DA" w:rsidRPr="00DE1D23" w:rsidRDefault="009445DA" w:rsidP="009445DA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Milwaukee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A00C5" w14:textId="30DBC5C1" w:rsidR="009445DA" w:rsidRPr="009445DA" w:rsidRDefault="009445DA" w:rsidP="009445DA">
            <w:pPr>
              <w:spacing w:line="252" w:lineRule="auto"/>
              <w:ind w:left="43" w:right="-14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$294,749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C3EE2" w14:textId="6E2639D7" w:rsidR="009445DA" w:rsidRPr="009445DA" w:rsidRDefault="009445DA" w:rsidP="009445DA">
            <w:pPr>
              <w:spacing w:line="252" w:lineRule="auto"/>
              <w:ind w:left="-3" w:right="-1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$320,184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0B56294" w14:textId="0D74FCBA" w:rsidR="009445DA" w:rsidRPr="009445DA" w:rsidRDefault="009445DA" w:rsidP="009445DA">
            <w:pPr>
              <w:spacing w:line="252" w:lineRule="auto"/>
              <w:ind w:left="184" w:right="18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$25,435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93B8FC" w14:textId="00A2E3A8" w:rsidR="009445DA" w:rsidRPr="009445DA" w:rsidRDefault="009445DA" w:rsidP="009445DA">
            <w:pPr>
              <w:spacing w:line="252" w:lineRule="auto"/>
              <w:ind w:left="74" w:right="9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>8.6%</w:t>
            </w:r>
          </w:p>
        </w:tc>
      </w:tr>
      <w:tr w:rsidR="009445DA" w:rsidRPr="00DE1D23" w14:paraId="5BCC6E05" w14:textId="77777777" w:rsidTr="00860766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3EC75" w14:textId="77777777" w:rsidR="009445DA" w:rsidRPr="00DE1D23" w:rsidRDefault="009445DA" w:rsidP="009445DA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Waukesha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3AE3" w14:textId="4227FC81" w:rsidR="009445DA" w:rsidRPr="009445DA" w:rsidRDefault="009445DA" w:rsidP="009445DA">
            <w:pPr>
              <w:spacing w:line="252" w:lineRule="auto"/>
              <w:ind w:left="43" w:right="-14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$528,270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7165F" w14:textId="6BC86333" w:rsidR="009445DA" w:rsidRPr="009445DA" w:rsidRDefault="009445DA" w:rsidP="009445DA">
            <w:pPr>
              <w:spacing w:line="252" w:lineRule="auto"/>
              <w:ind w:left="-3" w:right="-1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$530,709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4B1F063" w14:textId="74D3DAE1" w:rsidR="009445DA" w:rsidRPr="009445DA" w:rsidRDefault="009445DA" w:rsidP="009445DA">
            <w:pPr>
              <w:spacing w:line="252" w:lineRule="auto"/>
              <w:ind w:left="184" w:right="18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$2,439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95FD072" w14:textId="346A55BD" w:rsidR="009445DA" w:rsidRPr="009445DA" w:rsidRDefault="009445DA" w:rsidP="009445DA">
            <w:pPr>
              <w:spacing w:line="252" w:lineRule="auto"/>
              <w:ind w:left="74" w:right="9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>0.5%</w:t>
            </w:r>
          </w:p>
        </w:tc>
      </w:tr>
      <w:tr w:rsidR="009445DA" w:rsidRPr="00DE1D23" w14:paraId="1E50A212" w14:textId="77777777" w:rsidTr="00860766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59008" w14:textId="77777777" w:rsidR="009445DA" w:rsidRPr="00DE1D23" w:rsidRDefault="009445DA" w:rsidP="009445DA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Ozaukee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510F" w14:textId="3973422A" w:rsidR="009445DA" w:rsidRPr="009445DA" w:rsidRDefault="009445DA" w:rsidP="009445DA">
            <w:pPr>
              <w:spacing w:line="252" w:lineRule="auto"/>
              <w:ind w:left="43" w:right="-14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$513,846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713B" w14:textId="6EFA5770" w:rsidR="009445DA" w:rsidRPr="009445DA" w:rsidRDefault="009445DA" w:rsidP="009445DA">
            <w:pPr>
              <w:spacing w:line="252" w:lineRule="auto"/>
              <w:ind w:left="-3" w:right="-1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$556,730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0599DAE6" w14:textId="2E93A2A7" w:rsidR="009445DA" w:rsidRPr="009445DA" w:rsidRDefault="009445DA" w:rsidP="009445DA">
            <w:pPr>
              <w:spacing w:line="252" w:lineRule="auto"/>
              <w:ind w:left="184" w:right="18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$42,884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6F63B2" w14:textId="279A0996" w:rsidR="009445DA" w:rsidRPr="009445DA" w:rsidRDefault="009445DA" w:rsidP="009445DA">
            <w:pPr>
              <w:spacing w:line="252" w:lineRule="auto"/>
              <w:ind w:left="74" w:right="9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>8.3%</w:t>
            </w:r>
          </w:p>
        </w:tc>
      </w:tr>
      <w:tr w:rsidR="009445DA" w:rsidRPr="00DE1D23" w14:paraId="5DE81204" w14:textId="77777777" w:rsidTr="00860766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65080" w14:textId="77777777" w:rsidR="009445DA" w:rsidRPr="00DE1D23" w:rsidRDefault="009445DA" w:rsidP="009445DA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Washington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0EAC" w14:textId="37B0AB4B" w:rsidR="009445DA" w:rsidRPr="009445DA" w:rsidRDefault="009445DA" w:rsidP="009445DA">
            <w:pPr>
              <w:spacing w:line="252" w:lineRule="auto"/>
              <w:ind w:left="43" w:right="-14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$405,719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C3F7" w14:textId="39EDD36B" w:rsidR="009445DA" w:rsidRPr="009445DA" w:rsidRDefault="009445DA" w:rsidP="009445DA">
            <w:pPr>
              <w:spacing w:line="252" w:lineRule="auto"/>
              <w:ind w:left="-3" w:right="-1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$422,167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110885C" w14:textId="03177C64" w:rsidR="009445DA" w:rsidRPr="009445DA" w:rsidRDefault="009445DA" w:rsidP="009445DA">
            <w:pPr>
              <w:spacing w:line="252" w:lineRule="auto"/>
              <w:ind w:left="184" w:right="18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$16,448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24C2304" w14:textId="3CA6E76E" w:rsidR="009445DA" w:rsidRPr="009445DA" w:rsidRDefault="009445DA" w:rsidP="009445DA">
            <w:pPr>
              <w:spacing w:line="252" w:lineRule="auto"/>
              <w:ind w:left="74" w:right="9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>4.1%</w:t>
            </w:r>
          </w:p>
        </w:tc>
      </w:tr>
      <w:tr w:rsidR="009445DA" w:rsidRPr="00DE1D23" w14:paraId="708FE786" w14:textId="77777777" w:rsidTr="00860766">
        <w:trPr>
          <w:trHeight w:val="288"/>
        </w:trPr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7FAD2" w14:textId="77777777" w:rsidR="009445DA" w:rsidRPr="00DE1D23" w:rsidRDefault="009445DA" w:rsidP="009445DA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Metro Area Avg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1C2F" w14:textId="40895A2F" w:rsidR="009445DA" w:rsidRPr="009445DA" w:rsidRDefault="009445DA" w:rsidP="009445DA">
            <w:pPr>
              <w:spacing w:line="252" w:lineRule="auto"/>
              <w:ind w:left="43" w:right="-14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$435,646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C255E" w14:textId="38A32019" w:rsidR="009445DA" w:rsidRPr="009445DA" w:rsidRDefault="009445DA" w:rsidP="009445DA">
            <w:pPr>
              <w:spacing w:line="252" w:lineRule="auto"/>
              <w:ind w:left="-3" w:right="-15"/>
              <w:contextualSpacing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$457,448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7326F60" w14:textId="5539C1A7" w:rsidR="009445DA" w:rsidRPr="009445DA" w:rsidRDefault="009445DA" w:rsidP="009445DA">
            <w:pPr>
              <w:spacing w:line="252" w:lineRule="auto"/>
              <w:ind w:left="184" w:right="18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$21,802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E782C0" w14:textId="013E3C2E" w:rsidR="009445DA" w:rsidRPr="009445DA" w:rsidRDefault="009445DA" w:rsidP="009445DA">
            <w:pPr>
              <w:spacing w:line="252" w:lineRule="auto"/>
              <w:ind w:left="74" w:right="9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>5.0%</w:t>
            </w:r>
          </w:p>
        </w:tc>
      </w:tr>
      <w:tr w:rsidR="000666AB" w:rsidRPr="00DE1D23" w14:paraId="543FAF0A" w14:textId="77777777" w:rsidTr="000666AB">
        <w:trPr>
          <w:trHeight w:val="90"/>
        </w:trPr>
        <w:tc>
          <w:tcPr>
            <w:tcW w:w="64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EF8C" w14:textId="77777777" w:rsidR="000666AB" w:rsidRPr="00DB59A4" w:rsidRDefault="000666AB" w:rsidP="000666AB">
            <w:pPr>
              <w:spacing w:line="252" w:lineRule="auto"/>
              <w:ind w:left="74" w:right="95"/>
              <w:contextualSpacing w:val="0"/>
              <w:jc w:val="center"/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9445DA" w:rsidRPr="00DE1D23" w14:paraId="003C67DE" w14:textId="77777777" w:rsidTr="005B43CE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0307" w14:textId="77777777" w:rsidR="009445DA" w:rsidRPr="00DE1D23" w:rsidRDefault="009445DA" w:rsidP="009445DA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Sheboygan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FE8B4" w14:textId="575CF448" w:rsidR="009445DA" w:rsidRPr="009445DA" w:rsidRDefault="009445DA" w:rsidP="009445DA">
            <w:pPr>
              <w:spacing w:line="252" w:lineRule="auto"/>
              <w:ind w:left="44" w:right="-1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$337,538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F0DF8" w14:textId="06E7484C" w:rsidR="009445DA" w:rsidRPr="009445DA" w:rsidRDefault="009445DA" w:rsidP="009445DA">
            <w:pPr>
              <w:spacing w:line="252" w:lineRule="auto"/>
              <w:ind w:left="-3" w:right="-1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$316,697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637AEFF" w14:textId="4DC1D2C2" w:rsidR="009445DA" w:rsidRPr="009445DA" w:rsidRDefault="009445DA" w:rsidP="009445DA">
            <w:pPr>
              <w:spacing w:line="252" w:lineRule="auto"/>
              <w:ind w:left="184" w:right="18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>$(20,841)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41468D" w14:textId="5C1C6003" w:rsidR="009445DA" w:rsidRPr="009445DA" w:rsidRDefault="009445DA" w:rsidP="009445DA">
            <w:pPr>
              <w:spacing w:line="252" w:lineRule="auto"/>
              <w:ind w:left="74" w:right="9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>-6.2%</w:t>
            </w:r>
          </w:p>
        </w:tc>
      </w:tr>
      <w:tr w:rsidR="009445DA" w:rsidRPr="00DE1D23" w14:paraId="64566F44" w14:textId="77777777" w:rsidTr="005B43CE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5E8E" w14:textId="77777777" w:rsidR="009445DA" w:rsidRPr="00DE1D23" w:rsidRDefault="009445DA" w:rsidP="009445DA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Racine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D3C2F" w14:textId="3AE3DEBF" w:rsidR="009445DA" w:rsidRPr="009445DA" w:rsidRDefault="009445DA" w:rsidP="009445DA">
            <w:pPr>
              <w:spacing w:line="252" w:lineRule="auto"/>
              <w:ind w:left="44" w:right="-1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$308,569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AD40E" w14:textId="6AA39908" w:rsidR="009445DA" w:rsidRPr="009445DA" w:rsidRDefault="009445DA" w:rsidP="009445DA">
            <w:pPr>
              <w:spacing w:line="252" w:lineRule="auto"/>
              <w:ind w:left="-3" w:right="-1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$326,090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205F606" w14:textId="211EF33D" w:rsidR="009445DA" w:rsidRPr="009445DA" w:rsidRDefault="009445DA" w:rsidP="009445DA">
            <w:pPr>
              <w:spacing w:line="252" w:lineRule="auto"/>
              <w:ind w:left="184" w:right="18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$17,521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9BC3553" w14:textId="4D0FDCA9" w:rsidR="009445DA" w:rsidRPr="009445DA" w:rsidRDefault="009445DA" w:rsidP="009445DA">
            <w:pPr>
              <w:spacing w:line="252" w:lineRule="auto"/>
              <w:ind w:left="74" w:right="9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>5.7%</w:t>
            </w:r>
          </w:p>
        </w:tc>
      </w:tr>
      <w:tr w:rsidR="009445DA" w:rsidRPr="00DE1D23" w14:paraId="032D41E8" w14:textId="77777777" w:rsidTr="005B43CE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773CB" w14:textId="77777777" w:rsidR="009445DA" w:rsidRPr="00DE1D23" w:rsidRDefault="009445DA" w:rsidP="009445DA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Kenosha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228C2" w14:textId="3A64ABD2" w:rsidR="009445DA" w:rsidRPr="009445DA" w:rsidRDefault="009445DA" w:rsidP="009445DA">
            <w:pPr>
              <w:spacing w:line="252" w:lineRule="auto"/>
              <w:ind w:left="44" w:right="-1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$324,728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2778A" w14:textId="323402DD" w:rsidR="009445DA" w:rsidRPr="009445DA" w:rsidRDefault="009445DA" w:rsidP="009445DA">
            <w:pPr>
              <w:spacing w:line="252" w:lineRule="auto"/>
              <w:ind w:left="-3" w:right="-1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$372,539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730B389" w14:textId="59E86B69" w:rsidR="009445DA" w:rsidRPr="009445DA" w:rsidRDefault="009445DA" w:rsidP="009445DA">
            <w:pPr>
              <w:spacing w:line="252" w:lineRule="auto"/>
              <w:ind w:left="184" w:right="18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$47,811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6476C6" w14:textId="7C0F1526" w:rsidR="009445DA" w:rsidRPr="009445DA" w:rsidRDefault="009445DA" w:rsidP="009445DA">
            <w:pPr>
              <w:spacing w:line="252" w:lineRule="auto"/>
              <w:ind w:left="74" w:right="9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>14.7%</w:t>
            </w:r>
          </w:p>
        </w:tc>
      </w:tr>
      <w:tr w:rsidR="009445DA" w:rsidRPr="00DE1D23" w14:paraId="3FD23450" w14:textId="77777777" w:rsidTr="005B43CE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608B1" w14:textId="77777777" w:rsidR="009445DA" w:rsidRPr="00DE1D23" w:rsidRDefault="009445DA" w:rsidP="009445DA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Walworth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5CF8" w14:textId="4ED76E34" w:rsidR="009445DA" w:rsidRPr="009445DA" w:rsidRDefault="009445DA" w:rsidP="009445DA">
            <w:pPr>
              <w:spacing w:line="252" w:lineRule="auto"/>
              <w:ind w:left="44" w:right="-1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$539,215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91CE" w14:textId="1C85400F" w:rsidR="009445DA" w:rsidRPr="009445DA" w:rsidRDefault="009445DA" w:rsidP="009445DA">
            <w:pPr>
              <w:spacing w:line="252" w:lineRule="auto"/>
              <w:ind w:left="-3" w:right="-1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$603,696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E1D3B1E" w14:textId="352DE4BB" w:rsidR="009445DA" w:rsidRPr="009445DA" w:rsidRDefault="009445DA" w:rsidP="009445DA">
            <w:pPr>
              <w:spacing w:line="252" w:lineRule="auto"/>
              <w:ind w:left="184" w:right="18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$64,481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271B8FA" w14:textId="6BBC0F8F" w:rsidR="009445DA" w:rsidRPr="009445DA" w:rsidRDefault="009445DA" w:rsidP="009445DA">
            <w:pPr>
              <w:spacing w:line="252" w:lineRule="auto"/>
              <w:ind w:left="74" w:right="9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>12.0%</w:t>
            </w:r>
          </w:p>
        </w:tc>
      </w:tr>
      <w:tr w:rsidR="009445DA" w:rsidRPr="00DE1D23" w14:paraId="5EC97A6C" w14:textId="77777777" w:rsidTr="005B43CE">
        <w:trPr>
          <w:trHeight w:val="288"/>
        </w:trPr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DA8FD" w14:textId="77777777" w:rsidR="009445DA" w:rsidRPr="00DE1D23" w:rsidRDefault="009445DA" w:rsidP="009445DA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SE WI Area Avg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90080" w14:textId="070E2D1A" w:rsidR="009445DA" w:rsidRPr="009445DA" w:rsidRDefault="009445DA" w:rsidP="009445DA">
            <w:pPr>
              <w:spacing w:line="252" w:lineRule="auto"/>
              <w:ind w:left="44" w:right="-1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$464,662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4FB74" w14:textId="2C414195" w:rsidR="009445DA" w:rsidRPr="009445DA" w:rsidRDefault="009445DA" w:rsidP="009445DA">
            <w:pPr>
              <w:spacing w:line="252" w:lineRule="auto"/>
              <w:ind w:left="-3" w:right="-1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$492,687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33F5985" w14:textId="45E1827A" w:rsidR="009445DA" w:rsidRPr="009445DA" w:rsidRDefault="009445DA" w:rsidP="009445DA">
            <w:pPr>
              <w:spacing w:line="252" w:lineRule="auto"/>
              <w:ind w:left="184" w:right="18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 xml:space="preserve"> $28,025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5A2EFD" w14:textId="2F0B64B7" w:rsidR="009445DA" w:rsidRPr="009445DA" w:rsidRDefault="009445DA" w:rsidP="009445DA">
            <w:pPr>
              <w:spacing w:line="252" w:lineRule="auto"/>
              <w:ind w:left="74" w:right="9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45DA">
              <w:rPr>
                <w:rFonts w:ascii="Arial" w:hAnsi="Arial" w:cs="Arial"/>
                <w:sz w:val="20"/>
                <w:szCs w:val="20"/>
              </w:rPr>
              <w:t>6.0%</w:t>
            </w:r>
          </w:p>
        </w:tc>
      </w:tr>
    </w:tbl>
    <w:p w14:paraId="06F36CE1" w14:textId="77777777" w:rsidR="00874408" w:rsidRDefault="00001ECE" w:rsidP="00001ECE">
      <w:r>
        <w:t xml:space="preserve">The only effective way to ease current market conditions is to increase housing supply. </w:t>
      </w:r>
    </w:p>
    <w:p w14:paraId="1DCF84BE" w14:textId="77777777" w:rsidR="00874408" w:rsidRDefault="00874408" w:rsidP="00001ECE"/>
    <w:p w14:paraId="44CDEF02" w14:textId="43A4A15F" w:rsidR="00001ECE" w:rsidRDefault="00001ECE" w:rsidP="00001ECE">
      <w:r>
        <w:t>Additional supply would help slow the pace of price increases, though it would not cause prices to decline.</w:t>
      </w:r>
    </w:p>
    <w:p w14:paraId="6D1D7F62" w14:textId="77777777" w:rsidR="00001ECE" w:rsidRDefault="00001ECE" w:rsidP="00001ECE"/>
    <w:p w14:paraId="2B56FD50" w14:textId="272432E4" w:rsidR="00001ECE" w:rsidRDefault="00001ECE" w:rsidP="00001ECE">
      <w:r>
        <w:t xml:space="preserve">The market needs </w:t>
      </w:r>
      <w:r w:rsidR="00A40AFF">
        <w:t>about 8</w:t>
      </w:r>
      <w:r w:rsidR="00F3700A">
        <w:t>,000</w:t>
      </w:r>
      <w:r>
        <w:t xml:space="preserve"> units to meet current demand and allow price growth to moderate. However, in </w:t>
      </w:r>
      <w:r w:rsidR="006D2AF9">
        <w:t>March</w:t>
      </w:r>
      <w:r>
        <w:t xml:space="preserve"> there were only </w:t>
      </w:r>
      <w:r w:rsidR="00F3700A">
        <w:t>4</w:t>
      </w:r>
      <w:r>
        <w:t>,</w:t>
      </w:r>
      <w:r w:rsidR="00F3700A">
        <w:t>145</w:t>
      </w:r>
      <w:r>
        <w:t xml:space="preserve"> new listings, highlighting the depth of the supply shortage.</w:t>
      </w:r>
    </w:p>
    <w:p w14:paraId="4340BAE2" w14:textId="7BE016CA" w:rsidR="00001ECE" w:rsidRDefault="00001ECE" w:rsidP="00001ECE">
      <w:r>
        <w:lastRenderedPageBreak/>
        <w:t xml:space="preserve">On the demand side, the market </w:t>
      </w:r>
      <w:proofErr w:type="gramStart"/>
      <w:r>
        <w:t>is influenced</w:t>
      </w:r>
      <w:proofErr w:type="gramEnd"/>
      <w:r>
        <w:t xml:space="preserve"> by generational pressures. Millennial and Gen Z first-time buyers are competing directly with Baby Boomer empty nesters, all seeking housing at the same time.</w:t>
      </w:r>
    </w:p>
    <w:p w14:paraId="5079BF21" w14:textId="77777777" w:rsidR="00001ECE" w:rsidRDefault="00001ECE" w:rsidP="00001ECE"/>
    <w:p w14:paraId="254E3B42" w14:textId="03843712" w:rsidR="00001ECE" w:rsidRDefault="00001ECE" w:rsidP="00001ECE">
      <w:r>
        <w:t xml:space="preserve">As we have emphasized for </w:t>
      </w:r>
      <w:proofErr w:type="gramStart"/>
      <w:r w:rsidRPr="00874408">
        <w:rPr>
          <w:i/>
          <w:iCs/>
        </w:rPr>
        <w:t>several</w:t>
      </w:r>
      <w:proofErr w:type="gramEnd"/>
      <w:r w:rsidRPr="00874408">
        <w:rPr>
          <w:i/>
          <w:iCs/>
        </w:rPr>
        <w:t xml:space="preserve"> years</w:t>
      </w:r>
      <w:r>
        <w:t>, REALTORS® have faced extreme challenges in helping buyers</w:t>
      </w:r>
      <w:r w:rsidR="00874408">
        <w:t xml:space="preserve"> – </w:t>
      </w:r>
      <w:r>
        <w:t>particularly first-time buyers</w:t>
      </w:r>
      <w:r w:rsidR="00874408">
        <w:t xml:space="preserve"> – </w:t>
      </w:r>
      <w:r>
        <w:t>secure ownership opportunities such as condominiums and single-family homes.</w:t>
      </w:r>
    </w:p>
    <w:p w14:paraId="26E0D261" w14:textId="77777777" w:rsidR="00001ECE" w:rsidRDefault="00001ECE" w:rsidP="00001ECE"/>
    <w:p w14:paraId="45440D92" w14:textId="77777777" w:rsidR="00001ECE" w:rsidRDefault="00001ECE" w:rsidP="00001ECE">
      <w:r>
        <w:t xml:space="preserve">There is a significant long-term risk if additional supply </w:t>
      </w:r>
      <w:proofErr w:type="gramStart"/>
      <w:r>
        <w:t>is not created</w:t>
      </w:r>
      <w:proofErr w:type="gramEnd"/>
      <w:r>
        <w:t xml:space="preserve">, especially in the form of single-family and condominium units. Thousands of potential homeowners will </w:t>
      </w:r>
      <w:proofErr w:type="gramStart"/>
      <w:r>
        <w:t>be pushed</w:t>
      </w:r>
      <w:proofErr w:type="gramEnd"/>
      <w:r>
        <w:t xml:space="preserve"> into rental housing, limiting their ability to save for down payments and forcing them to </w:t>
      </w:r>
      <w:proofErr w:type="gramStart"/>
      <w:r>
        <w:t>miss out on</w:t>
      </w:r>
      <w:proofErr w:type="gramEnd"/>
      <w:r>
        <w:t xml:space="preserve"> building wealth through home equity and the broader benefits of homeownership.</w:t>
      </w:r>
    </w:p>
    <w:p w14:paraId="329FFCD2" w14:textId="77777777" w:rsidR="00001ECE" w:rsidRDefault="00001ECE" w:rsidP="00001ECE"/>
    <w:p w14:paraId="552448E6" w14:textId="5EC97586" w:rsidR="003244DA" w:rsidRDefault="00001ECE" w:rsidP="00001ECE">
      <w:r>
        <w:t>Over time, this will create serious downstream consequences. Families may lack sufficient home equity to help pay for college, invest in home improvements, or cover unexpected emergencies later in life</w:t>
      </w:r>
      <w:r w:rsidR="003244DA">
        <w:t xml:space="preserve">. </w:t>
      </w:r>
    </w:p>
    <w:p w14:paraId="61210D9C" w14:textId="77777777" w:rsidR="00451758" w:rsidRDefault="00451758">
      <w:pPr>
        <w:spacing w:after="160" w:line="259" w:lineRule="auto"/>
        <w:contextualSpacing w:val="0"/>
      </w:pPr>
    </w:p>
    <w:p w14:paraId="6C6A5D4A" w14:textId="77777777" w:rsidR="003244DA" w:rsidRPr="00985B7F" w:rsidRDefault="003244DA" w:rsidP="003244DA">
      <w:pPr>
        <w:pStyle w:val="ParagraphIntro"/>
      </w:pPr>
      <w:r w:rsidRPr="00985B7F">
        <w:t>Where to go</w:t>
      </w:r>
    </w:p>
    <w:p w14:paraId="4789C15D" w14:textId="77777777" w:rsidR="003244DA" w:rsidRPr="00627017" w:rsidRDefault="003244DA" w:rsidP="003244DA"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>
        <w:t>for</w:t>
      </w:r>
      <w:r w:rsidRPr="00627017">
        <w:t xml:space="preserve"> their home.</w:t>
      </w:r>
    </w:p>
    <w:p w14:paraId="0ACBF2C4" w14:textId="77777777" w:rsidR="003244DA" w:rsidRPr="00627017" w:rsidRDefault="003244DA" w:rsidP="003244DA"/>
    <w:p w14:paraId="4D2D04D8" w14:textId="3BB29545" w:rsidR="003244DA" w:rsidRDefault="003244DA" w:rsidP="003244DA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estate. Data for this report </w:t>
      </w:r>
      <w:proofErr w:type="gramStart"/>
      <w:r w:rsidRPr="00627017">
        <w:t>was collected</w:t>
      </w:r>
      <w:proofErr w:type="gramEnd"/>
      <w:r w:rsidRPr="00627017">
        <w:t xml:space="preserve"> by Metro MLS, Inc.</w:t>
      </w:r>
      <w:r w:rsidR="00EC6CB8">
        <w:t>,</w:t>
      </w:r>
      <w:r w:rsidRPr="00627017">
        <w:t xml:space="preserve"> a wholly owned subsidiary of GMAR.</w:t>
      </w:r>
      <w:r>
        <w:t xml:space="preserve"> </w:t>
      </w:r>
    </w:p>
    <w:p w14:paraId="531FC2C9" w14:textId="77777777" w:rsidR="003244DA" w:rsidRPr="00627017" w:rsidRDefault="003244DA" w:rsidP="003244DA"/>
    <w:p w14:paraId="04807D94" w14:textId="77777777" w:rsidR="003244DA" w:rsidRPr="00627017" w:rsidRDefault="003244DA" w:rsidP="003244DA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>
        <w:t xml:space="preserve"> of the month,</w:t>
      </w:r>
      <w:r w:rsidRPr="00627017">
        <w:t xml:space="preserve"> but an agent does not record the sale until </w:t>
      </w:r>
      <w:r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>
        <w:t xml:space="preserve"> of the next month,</w:t>
      </w:r>
      <w:r w:rsidRPr="00627017">
        <w:t xml:space="preserve"> that sale would not be included in the sales figures</w:t>
      </w:r>
      <w:r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505E4119" w14:textId="77777777" w:rsidR="003244DA" w:rsidRPr="00627017" w:rsidRDefault="003244DA" w:rsidP="003244DA">
      <w:pPr>
        <w:rPr>
          <w:sz w:val="20"/>
          <w:szCs w:val="20"/>
        </w:rPr>
      </w:pPr>
    </w:p>
    <w:p w14:paraId="4AF44DF9" w14:textId="77777777" w:rsidR="003244DA" w:rsidRPr="00627017" w:rsidRDefault="003244DA" w:rsidP="003244DA">
      <w:pPr>
        <w:pStyle w:val="Noted"/>
      </w:pPr>
      <w:r w:rsidRPr="00627017">
        <w:t xml:space="preserve">** All references to the “metropolitan” area denotes the </w:t>
      </w:r>
      <w:r>
        <w:t>four</w:t>
      </w:r>
      <w:r w:rsidRPr="00627017">
        <w:t xml:space="preserve"> counties of Milwaukee, Waukesha, Ozaukee, and Washington Counties. The “region” or “Southeast Wisconsin” refers to the </w:t>
      </w:r>
      <w:r>
        <w:t>four</w:t>
      </w:r>
      <w:r w:rsidRPr="00627017">
        <w:t xml:space="preserve"> metropolitan counties (Milwaukee, Waukesha, Ozaukee, and Washington), plus Racine, Kenosha, and Walworth Counties</w:t>
      </w:r>
      <w:r>
        <w:t>, t</w:t>
      </w:r>
      <w:r w:rsidRPr="00627017">
        <w:t>o the south.</w:t>
      </w:r>
    </w:p>
    <w:p w14:paraId="196026E5" w14:textId="77777777" w:rsidR="003244DA" w:rsidRPr="00627017" w:rsidRDefault="003244DA" w:rsidP="003244D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18C0E614" w14:textId="77777777" w:rsidR="003244DA" w:rsidRPr="00627017" w:rsidRDefault="003244DA" w:rsidP="003244D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04B449FD" w14:textId="76A7201E" w:rsidR="002920FB" w:rsidRDefault="002920FB">
      <w:pPr>
        <w:spacing w:after="160" w:line="259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7FA9B6E" w14:textId="5949AE1D" w:rsidR="00722A43" w:rsidRDefault="009445DA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AA97303" wp14:editId="51AE2A2F">
            <wp:extent cx="5575935" cy="3408257"/>
            <wp:effectExtent l="0" t="0" r="5715" b="1905"/>
            <wp:docPr id="179676413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10124F7" w14:textId="479FD417" w:rsidR="00FE2AA3" w:rsidRDefault="00752249" w:rsidP="004E6698">
      <w:pPr>
        <w:spacing w:after="120" w:line="300" w:lineRule="auto"/>
      </w:pPr>
      <w:r w:rsidRPr="00E65D35">
        <w:t xml:space="preserve">Seasonally </w:t>
      </w:r>
      <w:r w:rsidR="0060287B" w:rsidRPr="00E65D35">
        <w:t xml:space="preserve">adjusted </w:t>
      </w:r>
      <w:r w:rsidR="0060287B" w:rsidRPr="00330618">
        <w:t>i</w:t>
      </w:r>
      <w:r w:rsidR="0060287B" w:rsidRPr="00330618">
        <w:rPr>
          <w:rStyle w:val="NormalCalloutText"/>
          <w:b w:val="0"/>
          <w:bCs w:val="0"/>
        </w:rPr>
        <w:t>nventory</w:t>
      </w:r>
      <w:r w:rsidR="0060287B" w:rsidRPr="00E65D35">
        <w:t xml:space="preserve"> tells us how </w:t>
      </w:r>
      <w:proofErr w:type="gramStart"/>
      <w:r w:rsidR="0060287B" w:rsidRPr="00E65D35">
        <w:t>many</w:t>
      </w:r>
      <w:proofErr w:type="gramEnd"/>
      <w:r w:rsidR="0060287B" w:rsidRPr="00E65D35">
        <w:t xml:space="preserve">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6D2AF9">
        <w:rPr>
          <w:rStyle w:val="NormalCalloutText"/>
        </w:rPr>
        <w:t>March</w:t>
      </w:r>
      <w:r w:rsidR="0060287B" w:rsidRPr="00F84C72">
        <w:rPr>
          <w:rStyle w:val="NormalCalloutText"/>
        </w:rPr>
        <w:t xml:space="preserve"> was </w:t>
      </w:r>
      <w:r w:rsidR="00330618">
        <w:rPr>
          <w:rStyle w:val="NormalCalloutText"/>
        </w:rPr>
        <w:t>2</w:t>
      </w:r>
      <w:r w:rsidR="002920FB">
        <w:rPr>
          <w:rStyle w:val="NormalCalloutText"/>
        </w:rPr>
        <w:t>.</w:t>
      </w:r>
      <w:r w:rsidR="009445DA">
        <w:rPr>
          <w:rStyle w:val="NormalCalloutText"/>
        </w:rPr>
        <w:t>9</w:t>
      </w:r>
      <w:r w:rsidR="0060287B" w:rsidRPr="00F84C72">
        <w:rPr>
          <w:rStyle w:val="NormalCalloutText"/>
        </w:rPr>
        <w:t xml:space="preserve"> month</w:t>
      </w:r>
      <w:r w:rsidR="00BD2F20">
        <w:rPr>
          <w:rStyle w:val="NormalCalloutText"/>
        </w:rPr>
        <w:t>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9445DA">
        <w:rPr>
          <w:b/>
          <w:bCs/>
          <w:color w:val="203058"/>
        </w:rPr>
        <w:t>3</w:t>
      </w:r>
      <w:r w:rsidR="00160B50">
        <w:rPr>
          <w:b/>
          <w:bCs/>
          <w:color w:val="203058"/>
        </w:rPr>
        <w:t>,</w:t>
      </w:r>
      <w:r w:rsidR="009445DA">
        <w:rPr>
          <w:b/>
          <w:bCs/>
          <w:color w:val="203058"/>
        </w:rPr>
        <w:t>344</w:t>
      </w:r>
      <w:r w:rsidR="00FE2AA3" w:rsidRPr="00F84C72">
        <w:rPr>
          <w:rStyle w:val="NormalCalloutText"/>
        </w:rPr>
        <w:t xml:space="preserve"> listings, which equals </w:t>
      </w:r>
      <w:r w:rsidR="00082AAF">
        <w:rPr>
          <w:rStyle w:val="NormalCalloutText"/>
        </w:rPr>
        <w:t>1</w:t>
      </w:r>
      <w:r w:rsidR="00E31F8C">
        <w:rPr>
          <w:rStyle w:val="NormalCalloutText"/>
        </w:rPr>
        <w:t>.</w:t>
      </w:r>
      <w:r w:rsidR="009445DA">
        <w:rPr>
          <w:rStyle w:val="NormalCalloutText"/>
        </w:rPr>
        <w:t>3</w:t>
      </w:r>
      <w:r w:rsidR="00FE2AA3" w:rsidRPr="00F84C72">
        <w:rPr>
          <w:rStyle w:val="NormalCalloutText"/>
        </w:rPr>
        <w:t xml:space="preserve"> month</w:t>
      </w:r>
      <w:r w:rsidR="00C960B7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104796D7" w:rsidR="00FE2AA3" w:rsidRDefault="009445DA" w:rsidP="00BB3FAF">
      <w:pPr>
        <w:spacing w:before="120" w:after="120"/>
        <w:jc w:val="center"/>
      </w:pPr>
      <w:r>
        <w:rPr>
          <w:noProof/>
        </w:rPr>
        <w:drawing>
          <wp:inline distT="0" distB="0" distL="0" distR="0" wp14:anchorId="2572818F" wp14:editId="34E1216B">
            <wp:extent cx="5604721" cy="3170978"/>
            <wp:effectExtent l="0" t="0" r="0" b="0"/>
            <wp:docPr id="10588223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386B214D" w14:textId="33981F08" w:rsidR="00F84C72" w:rsidRPr="0087289E" w:rsidRDefault="004E6698" w:rsidP="00716F12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E65D35">
        <w:t xml:space="preserve">With </w:t>
      </w:r>
      <w:r w:rsidR="009445DA">
        <w:t>4</w:t>
      </w:r>
      <w:r w:rsidR="00C960B7">
        <w:t>,</w:t>
      </w:r>
      <w:r w:rsidR="009445DA">
        <w:t>145</w:t>
      </w:r>
      <w:r w:rsidRPr="00E65D35">
        <w:t xml:space="preserve"> current listings providing </w:t>
      </w:r>
      <w:r w:rsidR="00C960B7">
        <w:t>2</w:t>
      </w:r>
      <w:r w:rsidR="00330618">
        <w:t>.</w:t>
      </w:r>
      <w:r w:rsidR="009445DA">
        <w:t>9</w:t>
      </w:r>
      <w:r w:rsidRPr="00E65D35">
        <w:t xml:space="preserve"> months of inventory, </w:t>
      </w:r>
      <w:r w:rsidRPr="00E65D35">
        <w:rPr>
          <w:rStyle w:val="NormalCalloutText"/>
        </w:rPr>
        <w:t>the market would need an</w:t>
      </w:r>
      <w:r w:rsidRPr="00F84C72">
        <w:rPr>
          <w:rStyle w:val="NormalCalloutText"/>
        </w:rPr>
        <w:t xml:space="preserve"> additional </w:t>
      </w:r>
      <w:r w:rsidR="009445DA">
        <w:rPr>
          <w:rStyle w:val="NormalCalloutText"/>
        </w:rPr>
        <w:t>4</w:t>
      </w:r>
      <w:r w:rsidRPr="00F84C72">
        <w:rPr>
          <w:rStyle w:val="NormalCalloutText"/>
        </w:rPr>
        <w:t>,</w:t>
      </w:r>
      <w:r w:rsidR="009445DA">
        <w:rPr>
          <w:rStyle w:val="NormalCalloutText"/>
        </w:rPr>
        <w:t>290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</w:t>
      </w:r>
      <w:proofErr w:type="gramStart"/>
      <w:r w:rsidR="00F67F9D" w:rsidRPr="0087289E">
        <w:rPr>
          <w:rStyle w:val="NormalCalloutText"/>
          <w:b w:val="0"/>
          <w:bCs w:val="0"/>
          <w:color w:val="auto"/>
        </w:rPr>
        <w:t>is considered</w:t>
      </w:r>
      <w:proofErr w:type="gramEnd"/>
      <w:r w:rsidR="00F67F9D" w:rsidRPr="0087289E">
        <w:rPr>
          <w:rStyle w:val="NormalCalloutText"/>
          <w:b w:val="0"/>
          <w:bCs w:val="0"/>
          <w:color w:val="auto"/>
        </w:rPr>
        <w:t xml:space="preserve">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p w14:paraId="6CBF03B4" w14:textId="18F53068" w:rsidR="002920FB" w:rsidRDefault="002920FB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0B00382" w14:textId="366D4D05" w:rsidR="00B92DC4" w:rsidRDefault="000008FC" w:rsidP="00B92DC4">
      <w:pPr>
        <w:spacing w:after="160" w:line="259" w:lineRule="auto"/>
        <w:contextualSpacing w:val="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7A29423" wp14:editId="1A308F5C">
            <wp:extent cx="5909310" cy="4382770"/>
            <wp:effectExtent l="0" t="0" r="15240" b="17780"/>
            <wp:docPr id="120237092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B56237D-54C0-4849-8C75-6FC35DE051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6791AF9" w14:textId="292EFD16" w:rsidR="00E802E8" w:rsidRDefault="000008FC" w:rsidP="000008FC">
      <w:pPr>
        <w:spacing w:after="160" w:line="259" w:lineRule="auto"/>
        <w:contextualSpacing w:val="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7CDC877" wp14:editId="6C9056EB">
            <wp:extent cx="5920740" cy="4191000"/>
            <wp:effectExtent l="0" t="0" r="3810" b="0"/>
            <wp:docPr id="44174851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AD8CAE8-3E40-46D6-A942-BEDAA168F3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E802E8">
        <w:rPr>
          <w:rFonts w:ascii="Arial" w:hAnsi="Arial" w:cs="Arial"/>
          <w:sz w:val="20"/>
          <w:szCs w:val="20"/>
        </w:rPr>
        <w:br w:type="page"/>
      </w:r>
    </w:p>
    <w:p w14:paraId="2C9D7F78" w14:textId="4C3094CD" w:rsidR="004F2090" w:rsidRDefault="000008FC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EC96345" wp14:editId="0EF2565D">
            <wp:extent cx="5917565" cy="4373245"/>
            <wp:effectExtent l="0" t="0" r="6985" b="8255"/>
            <wp:docPr id="84796924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BCC9DB2-F818-46DB-B2B6-336FDDC6FB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745A4BB" w14:textId="03CF1749" w:rsidR="000008FC" w:rsidRDefault="000008FC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ABD0118" w14:textId="0616ECB0" w:rsidR="000008FC" w:rsidRDefault="000008FC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882D841" wp14:editId="0EAF17EC">
            <wp:extent cx="5906770" cy="4203065"/>
            <wp:effectExtent l="0" t="0" r="17780" b="6985"/>
            <wp:docPr id="79083302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50C3EA1-F4C5-43FC-A29A-CA8C566634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B6DDD64" w14:textId="027CA5A6" w:rsidR="000008FC" w:rsidRDefault="000008FC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C5D701F" wp14:editId="07A3444F">
            <wp:extent cx="5909945" cy="4201795"/>
            <wp:effectExtent l="0" t="0" r="14605" b="8255"/>
            <wp:docPr id="98964623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8081879-E2DA-4F7A-95EB-6EDC184B7E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2EB871B" w14:textId="77777777" w:rsidR="000008FC" w:rsidRDefault="000008FC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5ECA4D7" w14:textId="5C0D3534" w:rsidR="000008FC" w:rsidRDefault="000008FC" w:rsidP="00F3700A">
      <w:pPr>
        <w:pStyle w:val="Heading1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1BF0341" wp14:editId="17EC95A7">
            <wp:extent cx="5918835" cy="4375150"/>
            <wp:effectExtent l="0" t="0" r="5715" b="6350"/>
            <wp:docPr id="20687468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2FEF32A-D1AF-4A9C-AAE6-3E388C2211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40DC229" w14:textId="77777777" w:rsidR="000008FC" w:rsidRDefault="000008FC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1D6F4749" w14:textId="03F1D7E8" w:rsidR="00D848BE" w:rsidRPr="00082AAF" w:rsidRDefault="00D848BE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sectPr w:rsidR="00D848BE" w:rsidRPr="00082AAF" w:rsidSect="0045175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907" w:right="1440" w:bottom="1080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EDFF" w14:textId="77777777" w:rsidR="000004DC" w:rsidRDefault="000004DC" w:rsidP="003B327A">
      <w:r>
        <w:separator/>
      </w:r>
    </w:p>
  </w:endnote>
  <w:endnote w:type="continuationSeparator" w:id="0">
    <w:p w14:paraId="1ED6F2A7" w14:textId="77777777" w:rsidR="000004DC" w:rsidRDefault="000004DC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D84B" w14:textId="77777777" w:rsidR="000004DC" w:rsidRDefault="000004DC" w:rsidP="003B327A">
      <w:r>
        <w:separator/>
      </w:r>
    </w:p>
  </w:footnote>
  <w:footnote w:type="continuationSeparator" w:id="0">
    <w:p w14:paraId="364113A8" w14:textId="77777777" w:rsidR="000004DC" w:rsidRDefault="000004DC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04DC"/>
    <w:rsid w:val="000008FC"/>
    <w:rsid w:val="00001ECE"/>
    <w:rsid w:val="00002A09"/>
    <w:rsid w:val="000032B0"/>
    <w:rsid w:val="0000535B"/>
    <w:rsid w:val="00010A1A"/>
    <w:rsid w:val="00013AC8"/>
    <w:rsid w:val="0001575D"/>
    <w:rsid w:val="00015D53"/>
    <w:rsid w:val="00017D91"/>
    <w:rsid w:val="000231FD"/>
    <w:rsid w:val="00025E65"/>
    <w:rsid w:val="00026FC5"/>
    <w:rsid w:val="00027002"/>
    <w:rsid w:val="00027936"/>
    <w:rsid w:val="000359A8"/>
    <w:rsid w:val="000418A7"/>
    <w:rsid w:val="00041F41"/>
    <w:rsid w:val="00043760"/>
    <w:rsid w:val="00045DDB"/>
    <w:rsid w:val="000478F6"/>
    <w:rsid w:val="00050D04"/>
    <w:rsid w:val="00050EC7"/>
    <w:rsid w:val="00057F91"/>
    <w:rsid w:val="000643AB"/>
    <w:rsid w:val="000666AB"/>
    <w:rsid w:val="000711F9"/>
    <w:rsid w:val="00074D33"/>
    <w:rsid w:val="00075CB8"/>
    <w:rsid w:val="00080E07"/>
    <w:rsid w:val="0008180B"/>
    <w:rsid w:val="00081B02"/>
    <w:rsid w:val="00082AAF"/>
    <w:rsid w:val="000834B8"/>
    <w:rsid w:val="00083B67"/>
    <w:rsid w:val="00084A59"/>
    <w:rsid w:val="00085C75"/>
    <w:rsid w:val="00086B75"/>
    <w:rsid w:val="000871EE"/>
    <w:rsid w:val="00087232"/>
    <w:rsid w:val="00092126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B7E8B"/>
    <w:rsid w:val="000C0358"/>
    <w:rsid w:val="000C5D86"/>
    <w:rsid w:val="000D0E85"/>
    <w:rsid w:val="000D4375"/>
    <w:rsid w:val="000E0548"/>
    <w:rsid w:val="000E14E4"/>
    <w:rsid w:val="000E4CD9"/>
    <w:rsid w:val="000E646C"/>
    <w:rsid w:val="000E6502"/>
    <w:rsid w:val="000F21F9"/>
    <w:rsid w:val="0010266B"/>
    <w:rsid w:val="00105A82"/>
    <w:rsid w:val="00107E28"/>
    <w:rsid w:val="001104B3"/>
    <w:rsid w:val="001111CB"/>
    <w:rsid w:val="00112D8F"/>
    <w:rsid w:val="001225DE"/>
    <w:rsid w:val="00122DEE"/>
    <w:rsid w:val="00123E7A"/>
    <w:rsid w:val="00124A77"/>
    <w:rsid w:val="00125C6C"/>
    <w:rsid w:val="00127EF0"/>
    <w:rsid w:val="001312C0"/>
    <w:rsid w:val="00132D71"/>
    <w:rsid w:val="00133D00"/>
    <w:rsid w:val="00137528"/>
    <w:rsid w:val="001379FD"/>
    <w:rsid w:val="00144B86"/>
    <w:rsid w:val="00146897"/>
    <w:rsid w:val="00151841"/>
    <w:rsid w:val="001530AA"/>
    <w:rsid w:val="00153E0D"/>
    <w:rsid w:val="00156337"/>
    <w:rsid w:val="00157115"/>
    <w:rsid w:val="00160B50"/>
    <w:rsid w:val="0016242D"/>
    <w:rsid w:val="00162A57"/>
    <w:rsid w:val="00166452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3446"/>
    <w:rsid w:val="00183C62"/>
    <w:rsid w:val="001865ED"/>
    <w:rsid w:val="00190964"/>
    <w:rsid w:val="001928B3"/>
    <w:rsid w:val="00192A0B"/>
    <w:rsid w:val="001A060A"/>
    <w:rsid w:val="001A5F8A"/>
    <w:rsid w:val="001B41B1"/>
    <w:rsid w:val="001B4CFE"/>
    <w:rsid w:val="001B610A"/>
    <w:rsid w:val="001C2406"/>
    <w:rsid w:val="001C2B1D"/>
    <w:rsid w:val="001C3C25"/>
    <w:rsid w:val="001C3CE4"/>
    <w:rsid w:val="001C62A3"/>
    <w:rsid w:val="001D27D9"/>
    <w:rsid w:val="001D3B48"/>
    <w:rsid w:val="001D7B23"/>
    <w:rsid w:val="001E02BA"/>
    <w:rsid w:val="001E101E"/>
    <w:rsid w:val="001F0911"/>
    <w:rsid w:val="001F1FB1"/>
    <w:rsid w:val="001F245E"/>
    <w:rsid w:val="001F5CBD"/>
    <w:rsid w:val="001F7017"/>
    <w:rsid w:val="00205183"/>
    <w:rsid w:val="0020568A"/>
    <w:rsid w:val="00207323"/>
    <w:rsid w:val="002114BD"/>
    <w:rsid w:val="00211BC4"/>
    <w:rsid w:val="00214D42"/>
    <w:rsid w:val="002156E5"/>
    <w:rsid w:val="00215C52"/>
    <w:rsid w:val="002228CD"/>
    <w:rsid w:val="00225E0C"/>
    <w:rsid w:val="00226695"/>
    <w:rsid w:val="002268AB"/>
    <w:rsid w:val="002274F3"/>
    <w:rsid w:val="002311B5"/>
    <w:rsid w:val="00232416"/>
    <w:rsid w:val="0023346D"/>
    <w:rsid w:val="002369FD"/>
    <w:rsid w:val="00241968"/>
    <w:rsid w:val="00244D23"/>
    <w:rsid w:val="0025010A"/>
    <w:rsid w:val="00254EA2"/>
    <w:rsid w:val="00254F9F"/>
    <w:rsid w:val="00257E75"/>
    <w:rsid w:val="00260189"/>
    <w:rsid w:val="00261855"/>
    <w:rsid w:val="0026256A"/>
    <w:rsid w:val="00270176"/>
    <w:rsid w:val="00270753"/>
    <w:rsid w:val="00276DCA"/>
    <w:rsid w:val="00277C91"/>
    <w:rsid w:val="00277DD7"/>
    <w:rsid w:val="00284B0C"/>
    <w:rsid w:val="00284EF5"/>
    <w:rsid w:val="002853E5"/>
    <w:rsid w:val="002864B3"/>
    <w:rsid w:val="002920FB"/>
    <w:rsid w:val="0029714D"/>
    <w:rsid w:val="002A14D2"/>
    <w:rsid w:val="002A41E2"/>
    <w:rsid w:val="002A5E81"/>
    <w:rsid w:val="002A6B1C"/>
    <w:rsid w:val="002A78ED"/>
    <w:rsid w:val="002B1788"/>
    <w:rsid w:val="002B5840"/>
    <w:rsid w:val="002C0AE4"/>
    <w:rsid w:val="002C12CA"/>
    <w:rsid w:val="002C412A"/>
    <w:rsid w:val="002C52EF"/>
    <w:rsid w:val="002C639C"/>
    <w:rsid w:val="002D0230"/>
    <w:rsid w:val="002E3801"/>
    <w:rsid w:val="002E391A"/>
    <w:rsid w:val="002E40D8"/>
    <w:rsid w:val="002E74EB"/>
    <w:rsid w:val="002F03D7"/>
    <w:rsid w:val="002F2B80"/>
    <w:rsid w:val="002F59D0"/>
    <w:rsid w:val="003014F6"/>
    <w:rsid w:val="00301B28"/>
    <w:rsid w:val="00306E84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1BE"/>
    <w:rsid w:val="003176C9"/>
    <w:rsid w:val="00323325"/>
    <w:rsid w:val="003244DA"/>
    <w:rsid w:val="00325528"/>
    <w:rsid w:val="00326B56"/>
    <w:rsid w:val="0033059A"/>
    <w:rsid w:val="00330618"/>
    <w:rsid w:val="00331633"/>
    <w:rsid w:val="0033168B"/>
    <w:rsid w:val="003343A9"/>
    <w:rsid w:val="00334E67"/>
    <w:rsid w:val="00347CC9"/>
    <w:rsid w:val="00350097"/>
    <w:rsid w:val="00350E1C"/>
    <w:rsid w:val="00352251"/>
    <w:rsid w:val="00353589"/>
    <w:rsid w:val="00353725"/>
    <w:rsid w:val="00354473"/>
    <w:rsid w:val="003639E9"/>
    <w:rsid w:val="00365D98"/>
    <w:rsid w:val="003724B8"/>
    <w:rsid w:val="00373C96"/>
    <w:rsid w:val="00376BA5"/>
    <w:rsid w:val="00377E8C"/>
    <w:rsid w:val="00377E9E"/>
    <w:rsid w:val="00380FF7"/>
    <w:rsid w:val="0038324D"/>
    <w:rsid w:val="00383620"/>
    <w:rsid w:val="003878AF"/>
    <w:rsid w:val="00393E99"/>
    <w:rsid w:val="00395028"/>
    <w:rsid w:val="0039613C"/>
    <w:rsid w:val="003A6347"/>
    <w:rsid w:val="003B1886"/>
    <w:rsid w:val="003B3214"/>
    <w:rsid w:val="003B327A"/>
    <w:rsid w:val="003C282B"/>
    <w:rsid w:val="003C3E5E"/>
    <w:rsid w:val="003C5FD7"/>
    <w:rsid w:val="003E46BA"/>
    <w:rsid w:val="003F0A1B"/>
    <w:rsid w:val="003F403D"/>
    <w:rsid w:val="003F59E1"/>
    <w:rsid w:val="003F62F0"/>
    <w:rsid w:val="0040188A"/>
    <w:rsid w:val="00401E93"/>
    <w:rsid w:val="00402253"/>
    <w:rsid w:val="00402A91"/>
    <w:rsid w:val="004036BD"/>
    <w:rsid w:val="00407D21"/>
    <w:rsid w:val="00416329"/>
    <w:rsid w:val="00416DF0"/>
    <w:rsid w:val="004204E0"/>
    <w:rsid w:val="004217B7"/>
    <w:rsid w:val="00424608"/>
    <w:rsid w:val="00430E07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5F1E"/>
    <w:rsid w:val="00450916"/>
    <w:rsid w:val="00451758"/>
    <w:rsid w:val="00460083"/>
    <w:rsid w:val="00460A09"/>
    <w:rsid w:val="004616F1"/>
    <w:rsid w:val="0046205A"/>
    <w:rsid w:val="004635F0"/>
    <w:rsid w:val="00465A20"/>
    <w:rsid w:val="00465F52"/>
    <w:rsid w:val="00470AB1"/>
    <w:rsid w:val="0047433E"/>
    <w:rsid w:val="00474ECB"/>
    <w:rsid w:val="00476AA0"/>
    <w:rsid w:val="00481980"/>
    <w:rsid w:val="00482F01"/>
    <w:rsid w:val="0048406D"/>
    <w:rsid w:val="0049421B"/>
    <w:rsid w:val="004A1A6C"/>
    <w:rsid w:val="004A40D2"/>
    <w:rsid w:val="004A5A2A"/>
    <w:rsid w:val="004A5FC1"/>
    <w:rsid w:val="004B1439"/>
    <w:rsid w:val="004B1C64"/>
    <w:rsid w:val="004B2A09"/>
    <w:rsid w:val="004B2A93"/>
    <w:rsid w:val="004C7E31"/>
    <w:rsid w:val="004D52E3"/>
    <w:rsid w:val="004E6698"/>
    <w:rsid w:val="004E6E55"/>
    <w:rsid w:val="004E7EEF"/>
    <w:rsid w:val="004F08C0"/>
    <w:rsid w:val="004F2090"/>
    <w:rsid w:val="004F4D5B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335BE"/>
    <w:rsid w:val="00534803"/>
    <w:rsid w:val="00534DD3"/>
    <w:rsid w:val="0054105F"/>
    <w:rsid w:val="0054195F"/>
    <w:rsid w:val="00542FF4"/>
    <w:rsid w:val="00545C01"/>
    <w:rsid w:val="005460CE"/>
    <w:rsid w:val="005477F8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12FE"/>
    <w:rsid w:val="00591C7A"/>
    <w:rsid w:val="00593670"/>
    <w:rsid w:val="0059459C"/>
    <w:rsid w:val="0059620F"/>
    <w:rsid w:val="005A167E"/>
    <w:rsid w:val="005B5396"/>
    <w:rsid w:val="005C1A84"/>
    <w:rsid w:val="005C25E4"/>
    <w:rsid w:val="005C3BB5"/>
    <w:rsid w:val="005C4AF7"/>
    <w:rsid w:val="005C581B"/>
    <w:rsid w:val="005C5E3F"/>
    <w:rsid w:val="005C65B2"/>
    <w:rsid w:val="005D0C58"/>
    <w:rsid w:val="005D4112"/>
    <w:rsid w:val="005D6400"/>
    <w:rsid w:val="005E4C81"/>
    <w:rsid w:val="005F3908"/>
    <w:rsid w:val="00602021"/>
    <w:rsid w:val="0060287B"/>
    <w:rsid w:val="00603A94"/>
    <w:rsid w:val="00607B60"/>
    <w:rsid w:val="00612A0E"/>
    <w:rsid w:val="006146B0"/>
    <w:rsid w:val="006200A6"/>
    <w:rsid w:val="00620A04"/>
    <w:rsid w:val="006213F9"/>
    <w:rsid w:val="00623E52"/>
    <w:rsid w:val="006247E9"/>
    <w:rsid w:val="00627017"/>
    <w:rsid w:val="00627F72"/>
    <w:rsid w:val="0063404B"/>
    <w:rsid w:val="00636212"/>
    <w:rsid w:val="0064142B"/>
    <w:rsid w:val="006416AF"/>
    <w:rsid w:val="006459E3"/>
    <w:rsid w:val="00645AD0"/>
    <w:rsid w:val="0065300F"/>
    <w:rsid w:val="00654B2A"/>
    <w:rsid w:val="00656C73"/>
    <w:rsid w:val="00657358"/>
    <w:rsid w:val="00657D2E"/>
    <w:rsid w:val="00662485"/>
    <w:rsid w:val="006626BD"/>
    <w:rsid w:val="00667F9C"/>
    <w:rsid w:val="0067111B"/>
    <w:rsid w:val="00673F45"/>
    <w:rsid w:val="00681DC8"/>
    <w:rsid w:val="006836E9"/>
    <w:rsid w:val="00690E70"/>
    <w:rsid w:val="00694286"/>
    <w:rsid w:val="00695184"/>
    <w:rsid w:val="00697541"/>
    <w:rsid w:val="006A0D96"/>
    <w:rsid w:val="006A4D33"/>
    <w:rsid w:val="006B0D8F"/>
    <w:rsid w:val="006C0A4A"/>
    <w:rsid w:val="006C630A"/>
    <w:rsid w:val="006D06AC"/>
    <w:rsid w:val="006D13A0"/>
    <w:rsid w:val="006D176A"/>
    <w:rsid w:val="006D195E"/>
    <w:rsid w:val="006D1DE2"/>
    <w:rsid w:val="006D22A4"/>
    <w:rsid w:val="006D2AF9"/>
    <w:rsid w:val="006D3772"/>
    <w:rsid w:val="006D54A8"/>
    <w:rsid w:val="006D6799"/>
    <w:rsid w:val="006E0511"/>
    <w:rsid w:val="006E0DB1"/>
    <w:rsid w:val="006E47E9"/>
    <w:rsid w:val="006E60DF"/>
    <w:rsid w:val="006F7E40"/>
    <w:rsid w:val="00701269"/>
    <w:rsid w:val="00704C25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37429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D40"/>
    <w:rsid w:val="0077154C"/>
    <w:rsid w:val="0077361B"/>
    <w:rsid w:val="00775F51"/>
    <w:rsid w:val="00777721"/>
    <w:rsid w:val="00780AA1"/>
    <w:rsid w:val="0078467D"/>
    <w:rsid w:val="007848D3"/>
    <w:rsid w:val="00785F83"/>
    <w:rsid w:val="007900CB"/>
    <w:rsid w:val="0079199D"/>
    <w:rsid w:val="007928FE"/>
    <w:rsid w:val="0079305F"/>
    <w:rsid w:val="007A5A12"/>
    <w:rsid w:val="007B1281"/>
    <w:rsid w:val="007B4513"/>
    <w:rsid w:val="007B6D3B"/>
    <w:rsid w:val="007C00E5"/>
    <w:rsid w:val="007C3421"/>
    <w:rsid w:val="007C3470"/>
    <w:rsid w:val="007C3602"/>
    <w:rsid w:val="007C3727"/>
    <w:rsid w:val="007C40CE"/>
    <w:rsid w:val="007C4327"/>
    <w:rsid w:val="007C7D8C"/>
    <w:rsid w:val="007D09D8"/>
    <w:rsid w:val="007D4724"/>
    <w:rsid w:val="007E0B53"/>
    <w:rsid w:val="007E15E0"/>
    <w:rsid w:val="007E44AB"/>
    <w:rsid w:val="007E5323"/>
    <w:rsid w:val="007F6B5D"/>
    <w:rsid w:val="00800766"/>
    <w:rsid w:val="0080131C"/>
    <w:rsid w:val="00801B2E"/>
    <w:rsid w:val="00805843"/>
    <w:rsid w:val="00805CC5"/>
    <w:rsid w:val="0080655E"/>
    <w:rsid w:val="008107AA"/>
    <w:rsid w:val="00813045"/>
    <w:rsid w:val="008130DA"/>
    <w:rsid w:val="00815481"/>
    <w:rsid w:val="00815BC2"/>
    <w:rsid w:val="0081666B"/>
    <w:rsid w:val="00817377"/>
    <w:rsid w:val="00822622"/>
    <w:rsid w:val="00831E2B"/>
    <w:rsid w:val="00832D28"/>
    <w:rsid w:val="0083681A"/>
    <w:rsid w:val="00847102"/>
    <w:rsid w:val="00853C6E"/>
    <w:rsid w:val="00857CA5"/>
    <w:rsid w:val="00867510"/>
    <w:rsid w:val="00871C1A"/>
    <w:rsid w:val="0087201F"/>
    <w:rsid w:val="0087289E"/>
    <w:rsid w:val="00874408"/>
    <w:rsid w:val="00882765"/>
    <w:rsid w:val="00882A53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3DC3"/>
    <w:rsid w:val="008A6E66"/>
    <w:rsid w:val="008B059D"/>
    <w:rsid w:val="008C1EA3"/>
    <w:rsid w:val="008C345B"/>
    <w:rsid w:val="008C6F6A"/>
    <w:rsid w:val="008D024B"/>
    <w:rsid w:val="008D2730"/>
    <w:rsid w:val="008D51A0"/>
    <w:rsid w:val="008D5219"/>
    <w:rsid w:val="008E494E"/>
    <w:rsid w:val="008E64A6"/>
    <w:rsid w:val="008F12C5"/>
    <w:rsid w:val="008F15EA"/>
    <w:rsid w:val="008F46A7"/>
    <w:rsid w:val="008F7E2F"/>
    <w:rsid w:val="00900DBC"/>
    <w:rsid w:val="00912FB8"/>
    <w:rsid w:val="00913F14"/>
    <w:rsid w:val="00915E05"/>
    <w:rsid w:val="0091767C"/>
    <w:rsid w:val="0092034A"/>
    <w:rsid w:val="00921DBE"/>
    <w:rsid w:val="0092306F"/>
    <w:rsid w:val="009256C4"/>
    <w:rsid w:val="009303A0"/>
    <w:rsid w:val="0093743F"/>
    <w:rsid w:val="009375FE"/>
    <w:rsid w:val="009407A1"/>
    <w:rsid w:val="009445DA"/>
    <w:rsid w:val="00945145"/>
    <w:rsid w:val="00945C7F"/>
    <w:rsid w:val="00946D4A"/>
    <w:rsid w:val="00950D76"/>
    <w:rsid w:val="00951888"/>
    <w:rsid w:val="00953B8C"/>
    <w:rsid w:val="00953F34"/>
    <w:rsid w:val="00954C2D"/>
    <w:rsid w:val="00956623"/>
    <w:rsid w:val="00956B75"/>
    <w:rsid w:val="00957AA6"/>
    <w:rsid w:val="00960659"/>
    <w:rsid w:val="00961059"/>
    <w:rsid w:val="00963F94"/>
    <w:rsid w:val="00965378"/>
    <w:rsid w:val="0096573C"/>
    <w:rsid w:val="00966533"/>
    <w:rsid w:val="0096778F"/>
    <w:rsid w:val="0096795D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97937"/>
    <w:rsid w:val="009A03F9"/>
    <w:rsid w:val="009A3885"/>
    <w:rsid w:val="009A4FA7"/>
    <w:rsid w:val="009A6291"/>
    <w:rsid w:val="009A6579"/>
    <w:rsid w:val="009A666F"/>
    <w:rsid w:val="009B0737"/>
    <w:rsid w:val="009B0D6E"/>
    <w:rsid w:val="009B1B42"/>
    <w:rsid w:val="009B2887"/>
    <w:rsid w:val="009B6FCA"/>
    <w:rsid w:val="009B7675"/>
    <w:rsid w:val="009C29B1"/>
    <w:rsid w:val="009C6EA8"/>
    <w:rsid w:val="009D180F"/>
    <w:rsid w:val="009D2241"/>
    <w:rsid w:val="009D4F89"/>
    <w:rsid w:val="009D6996"/>
    <w:rsid w:val="009E2F8C"/>
    <w:rsid w:val="009E4BB1"/>
    <w:rsid w:val="009E6AC3"/>
    <w:rsid w:val="009F1F68"/>
    <w:rsid w:val="009F21C4"/>
    <w:rsid w:val="009F23EF"/>
    <w:rsid w:val="009F28D2"/>
    <w:rsid w:val="00A017CA"/>
    <w:rsid w:val="00A10126"/>
    <w:rsid w:val="00A139C9"/>
    <w:rsid w:val="00A1782B"/>
    <w:rsid w:val="00A2068E"/>
    <w:rsid w:val="00A2088C"/>
    <w:rsid w:val="00A2539A"/>
    <w:rsid w:val="00A25A48"/>
    <w:rsid w:val="00A35390"/>
    <w:rsid w:val="00A3559A"/>
    <w:rsid w:val="00A358FD"/>
    <w:rsid w:val="00A35EE2"/>
    <w:rsid w:val="00A364ED"/>
    <w:rsid w:val="00A37F31"/>
    <w:rsid w:val="00A40AFF"/>
    <w:rsid w:val="00A41720"/>
    <w:rsid w:val="00A42571"/>
    <w:rsid w:val="00A45D52"/>
    <w:rsid w:val="00A47356"/>
    <w:rsid w:val="00A4749D"/>
    <w:rsid w:val="00A47E53"/>
    <w:rsid w:val="00A5422D"/>
    <w:rsid w:val="00A554A1"/>
    <w:rsid w:val="00A55625"/>
    <w:rsid w:val="00A608CA"/>
    <w:rsid w:val="00A60995"/>
    <w:rsid w:val="00A648D1"/>
    <w:rsid w:val="00A66F2A"/>
    <w:rsid w:val="00A675BE"/>
    <w:rsid w:val="00A7320C"/>
    <w:rsid w:val="00A750DA"/>
    <w:rsid w:val="00A761D3"/>
    <w:rsid w:val="00A86766"/>
    <w:rsid w:val="00A91006"/>
    <w:rsid w:val="00A92D0C"/>
    <w:rsid w:val="00A96CA0"/>
    <w:rsid w:val="00AA0451"/>
    <w:rsid w:val="00AA16AC"/>
    <w:rsid w:val="00AA29A8"/>
    <w:rsid w:val="00AB0545"/>
    <w:rsid w:val="00AB1D2A"/>
    <w:rsid w:val="00AB30DB"/>
    <w:rsid w:val="00AB4322"/>
    <w:rsid w:val="00AC28D6"/>
    <w:rsid w:val="00AC3065"/>
    <w:rsid w:val="00AC4C87"/>
    <w:rsid w:val="00AC6A57"/>
    <w:rsid w:val="00AD04AA"/>
    <w:rsid w:val="00AD1A34"/>
    <w:rsid w:val="00AD4C46"/>
    <w:rsid w:val="00AD62F0"/>
    <w:rsid w:val="00AD642D"/>
    <w:rsid w:val="00AE1A13"/>
    <w:rsid w:val="00AE298D"/>
    <w:rsid w:val="00AE3BB8"/>
    <w:rsid w:val="00AE3EB4"/>
    <w:rsid w:val="00AE6343"/>
    <w:rsid w:val="00AE6E14"/>
    <w:rsid w:val="00AF276C"/>
    <w:rsid w:val="00AF5A18"/>
    <w:rsid w:val="00AF6456"/>
    <w:rsid w:val="00AF765C"/>
    <w:rsid w:val="00B01F83"/>
    <w:rsid w:val="00B02FC9"/>
    <w:rsid w:val="00B03A0D"/>
    <w:rsid w:val="00B062F3"/>
    <w:rsid w:val="00B151AD"/>
    <w:rsid w:val="00B170CC"/>
    <w:rsid w:val="00B20739"/>
    <w:rsid w:val="00B209A7"/>
    <w:rsid w:val="00B31A16"/>
    <w:rsid w:val="00B330BD"/>
    <w:rsid w:val="00B3472D"/>
    <w:rsid w:val="00B347C2"/>
    <w:rsid w:val="00B40DFC"/>
    <w:rsid w:val="00B441CE"/>
    <w:rsid w:val="00B46E8C"/>
    <w:rsid w:val="00B500F8"/>
    <w:rsid w:val="00B65888"/>
    <w:rsid w:val="00B704CC"/>
    <w:rsid w:val="00B81A3B"/>
    <w:rsid w:val="00B85795"/>
    <w:rsid w:val="00B86C67"/>
    <w:rsid w:val="00B92635"/>
    <w:rsid w:val="00B92DC4"/>
    <w:rsid w:val="00B95302"/>
    <w:rsid w:val="00B97E5A"/>
    <w:rsid w:val="00BA51DE"/>
    <w:rsid w:val="00BA6A26"/>
    <w:rsid w:val="00BA70FF"/>
    <w:rsid w:val="00BA71CB"/>
    <w:rsid w:val="00BB352F"/>
    <w:rsid w:val="00BB3FAF"/>
    <w:rsid w:val="00BB4423"/>
    <w:rsid w:val="00BB55D6"/>
    <w:rsid w:val="00BC0D66"/>
    <w:rsid w:val="00BC1205"/>
    <w:rsid w:val="00BC4153"/>
    <w:rsid w:val="00BD05F0"/>
    <w:rsid w:val="00BD0F21"/>
    <w:rsid w:val="00BD2974"/>
    <w:rsid w:val="00BD2F20"/>
    <w:rsid w:val="00BD363D"/>
    <w:rsid w:val="00BD5FEE"/>
    <w:rsid w:val="00BD6EF6"/>
    <w:rsid w:val="00BD7E94"/>
    <w:rsid w:val="00BE0E5A"/>
    <w:rsid w:val="00BE4F46"/>
    <w:rsid w:val="00BF05EC"/>
    <w:rsid w:val="00BF0DA5"/>
    <w:rsid w:val="00BF155E"/>
    <w:rsid w:val="00BF2D61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379"/>
    <w:rsid w:val="00C22763"/>
    <w:rsid w:val="00C234BD"/>
    <w:rsid w:val="00C24714"/>
    <w:rsid w:val="00C334B0"/>
    <w:rsid w:val="00C34FFF"/>
    <w:rsid w:val="00C407A2"/>
    <w:rsid w:val="00C41C9C"/>
    <w:rsid w:val="00C434EA"/>
    <w:rsid w:val="00C46012"/>
    <w:rsid w:val="00C47C42"/>
    <w:rsid w:val="00C547F1"/>
    <w:rsid w:val="00C5567F"/>
    <w:rsid w:val="00C60C7C"/>
    <w:rsid w:val="00C61EBD"/>
    <w:rsid w:val="00C63ADE"/>
    <w:rsid w:val="00C63D82"/>
    <w:rsid w:val="00C73AAD"/>
    <w:rsid w:val="00C746BD"/>
    <w:rsid w:val="00C76AED"/>
    <w:rsid w:val="00C77E4B"/>
    <w:rsid w:val="00C8517F"/>
    <w:rsid w:val="00C919A0"/>
    <w:rsid w:val="00C960B7"/>
    <w:rsid w:val="00CA4DB0"/>
    <w:rsid w:val="00CA5627"/>
    <w:rsid w:val="00CB0036"/>
    <w:rsid w:val="00CC1EAA"/>
    <w:rsid w:val="00CC316C"/>
    <w:rsid w:val="00CD08DE"/>
    <w:rsid w:val="00CD19F7"/>
    <w:rsid w:val="00CD4658"/>
    <w:rsid w:val="00CD523F"/>
    <w:rsid w:val="00CD6193"/>
    <w:rsid w:val="00CD7CA8"/>
    <w:rsid w:val="00CD7E58"/>
    <w:rsid w:val="00CE1456"/>
    <w:rsid w:val="00CF118C"/>
    <w:rsid w:val="00CF1195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0441"/>
    <w:rsid w:val="00D215B6"/>
    <w:rsid w:val="00D27B49"/>
    <w:rsid w:val="00D31E52"/>
    <w:rsid w:val="00D33806"/>
    <w:rsid w:val="00D34058"/>
    <w:rsid w:val="00D36A48"/>
    <w:rsid w:val="00D42F01"/>
    <w:rsid w:val="00D4300F"/>
    <w:rsid w:val="00D432FD"/>
    <w:rsid w:val="00D465C9"/>
    <w:rsid w:val="00D46FAC"/>
    <w:rsid w:val="00D510F7"/>
    <w:rsid w:val="00D65ECE"/>
    <w:rsid w:val="00D71B10"/>
    <w:rsid w:val="00D729BF"/>
    <w:rsid w:val="00D747A8"/>
    <w:rsid w:val="00D75691"/>
    <w:rsid w:val="00D7710D"/>
    <w:rsid w:val="00D776E8"/>
    <w:rsid w:val="00D81D49"/>
    <w:rsid w:val="00D82DAA"/>
    <w:rsid w:val="00D83A25"/>
    <w:rsid w:val="00D83E09"/>
    <w:rsid w:val="00D848BE"/>
    <w:rsid w:val="00D87084"/>
    <w:rsid w:val="00D8709F"/>
    <w:rsid w:val="00D9455C"/>
    <w:rsid w:val="00D94E82"/>
    <w:rsid w:val="00DA2234"/>
    <w:rsid w:val="00DA2DEC"/>
    <w:rsid w:val="00DA467F"/>
    <w:rsid w:val="00DB0943"/>
    <w:rsid w:val="00DB1AA5"/>
    <w:rsid w:val="00DB59A4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D731A"/>
    <w:rsid w:val="00DE086A"/>
    <w:rsid w:val="00DE2268"/>
    <w:rsid w:val="00DE4001"/>
    <w:rsid w:val="00DE4409"/>
    <w:rsid w:val="00DE478C"/>
    <w:rsid w:val="00DE4CC9"/>
    <w:rsid w:val="00DE613A"/>
    <w:rsid w:val="00DF411E"/>
    <w:rsid w:val="00DF7795"/>
    <w:rsid w:val="00DF7DFC"/>
    <w:rsid w:val="00E02A9E"/>
    <w:rsid w:val="00E047BD"/>
    <w:rsid w:val="00E077B8"/>
    <w:rsid w:val="00E132E6"/>
    <w:rsid w:val="00E22DD1"/>
    <w:rsid w:val="00E23762"/>
    <w:rsid w:val="00E250AA"/>
    <w:rsid w:val="00E302C4"/>
    <w:rsid w:val="00E318C9"/>
    <w:rsid w:val="00E31F8C"/>
    <w:rsid w:val="00E3381F"/>
    <w:rsid w:val="00E33FB3"/>
    <w:rsid w:val="00E3418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1D7E"/>
    <w:rsid w:val="00E53285"/>
    <w:rsid w:val="00E54BEE"/>
    <w:rsid w:val="00E5715D"/>
    <w:rsid w:val="00E5727F"/>
    <w:rsid w:val="00E578C4"/>
    <w:rsid w:val="00E636E6"/>
    <w:rsid w:val="00E6481D"/>
    <w:rsid w:val="00E64AEC"/>
    <w:rsid w:val="00E65D35"/>
    <w:rsid w:val="00E7187F"/>
    <w:rsid w:val="00E72019"/>
    <w:rsid w:val="00E72902"/>
    <w:rsid w:val="00E739D4"/>
    <w:rsid w:val="00E749C3"/>
    <w:rsid w:val="00E7590D"/>
    <w:rsid w:val="00E802E8"/>
    <w:rsid w:val="00E8190F"/>
    <w:rsid w:val="00E8432A"/>
    <w:rsid w:val="00E913B2"/>
    <w:rsid w:val="00EA2981"/>
    <w:rsid w:val="00EA2CD3"/>
    <w:rsid w:val="00EA2F2A"/>
    <w:rsid w:val="00EA5B86"/>
    <w:rsid w:val="00EA763F"/>
    <w:rsid w:val="00EB1B71"/>
    <w:rsid w:val="00EB252D"/>
    <w:rsid w:val="00EB2961"/>
    <w:rsid w:val="00EB2CA3"/>
    <w:rsid w:val="00EB334C"/>
    <w:rsid w:val="00EB4238"/>
    <w:rsid w:val="00EB49AC"/>
    <w:rsid w:val="00EB4B61"/>
    <w:rsid w:val="00EB6DC0"/>
    <w:rsid w:val="00EC22D0"/>
    <w:rsid w:val="00EC23F2"/>
    <w:rsid w:val="00EC2A4F"/>
    <w:rsid w:val="00EC6CB8"/>
    <w:rsid w:val="00EC789A"/>
    <w:rsid w:val="00ED0B05"/>
    <w:rsid w:val="00ED27FC"/>
    <w:rsid w:val="00EE26A4"/>
    <w:rsid w:val="00EE505B"/>
    <w:rsid w:val="00EE6F6F"/>
    <w:rsid w:val="00F00818"/>
    <w:rsid w:val="00F01A99"/>
    <w:rsid w:val="00F024C3"/>
    <w:rsid w:val="00F03600"/>
    <w:rsid w:val="00F06772"/>
    <w:rsid w:val="00F07937"/>
    <w:rsid w:val="00F105E6"/>
    <w:rsid w:val="00F11245"/>
    <w:rsid w:val="00F1131E"/>
    <w:rsid w:val="00F1254A"/>
    <w:rsid w:val="00F13AB3"/>
    <w:rsid w:val="00F2081D"/>
    <w:rsid w:val="00F22843"/>
    <w:rsid w:val="00F264CF"/>
    <w:rsid w:val="00F27208"/>
    <w:rsid w:val="00F34596"/>
    <w:rsid w:val="00F35B69"/>
    <w:rsid w:val="00F35E94"/>
    <w:rsid w:val="00F3700A"/>
    <w:rsid w:val="00F402BD"/>
    <w:rsid w:val="00F40B43"/>
    <w:rsid w:val="00F40BDC"/>
    <w:rsid w:val="00F4138C"/>
    <w:rsid w:val="00F418DC"/>
    <w:rsid w:val="00F41BD7"/>
    <w:rsid w:val="00F41EBA"/>
    <w:rsid w:val="00F43485"/>
    <w:rsid w:val="00F4702E"/>
    <w:rsid w:val="00F47C51"/>
    <w:rsid w:val="00F51A3F"/>
    <w:rsid w:val="00F5351F"/>
    <w:rsid w:val="00F537E4"/>
    <w:rsid w:val="00F56E8C"/>
    <w:rsid w:val="00F60C8B"/>
    <w:rsid w:val="00F677F0"/>
    <w:rsid w:val="00F67F9D"/>
    <w:rsid w:val="00F73353"/>
    <w:rsid w:val="00F75F7E"/>
    <w:rsid w:val="00F80C68"/>
    <w:rsid w:val="00F84C72"/>
    <w:rsid w:val="00F90B4C"/>
    <w:rsid w:val="00F920AA"/>
    <w:rsid w:val="00F93942"/>
    <w:rsid w:val="00F95110"/>
    <w:rsid w:val="00FA099D"/>
    <w:rsid w:val="00FA724A"/>
    <w:rsid w:val="00FB26C9"/>
    <w:rsid w:val="00FB5F93"/>
    <w:rsid w:val="00FC30D6"/>
    <w:rsid w:val="00FC47BB"/>
    <w:rsid w:val="00FC4D4B"/>
    <w:rsid w:val="00FC4FB0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092126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oter" Target="footer3.xml"/><Relationship Id="rId10" Type="http://schemas.openxmlformats.org/officeDocument/2006/relationships/chart" Target="charts/chart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chart" Target="charts/chart5.xm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Data'!$A$137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April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Sept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</c:strCache>
            </c:strRef>
          </c:cat>
          <c:val>
            <c:numRef>
              <c:f>'Monthly Stats Data'!$B$137:$M$137</c:f>
              <c:numCache>
                <c:formatCode>_(* #,##0_);_(* \(#,##0\);_(* "-"??_);_(@_)</c:formatCode>
                <c:ptCount val="12"/>
                <c:pt idx="0">
                  <c:v>2012</c:v>
                </c:pt>
                <c:pt idx="1">
                  <c:v>2518</c:v>
                </c:pt>
                <c:pt idx="2">
                  <c:v>2920</c:v>
                </c:pt>
                <c:pt idx="3">
                  <c:v>2850</c:v>
                </c:pt>
                <c:pt idx="4">
                  <c:v>3190</c:v>
                </c:pt>
                <c:pt idx="5">
                  <c:v>3374</c:v>
                </c:pt>
                <c:pt idx="6">
                  <c:v>3373</c:v>
                </c:pt>
                <c:pt idx="7">
                  <c:v>3024</c:v>
                </c:pt>
                <c:pt idx="8">
                  <c:v>2485</c:v>
                </c:pt>
                <c:pt idx="9">
                  <c:v>2376</c:v>
                </c:pt>
                <c:pt idx="10">
                  <c:v>2342</c:v>
                </c:pt>
                <c:pt idx="11">
                  <c:v>2670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9A-4AC3-AC01-F1F644C5E020}"/>
            </c:ext>
          </c:extLst>
        </c:ser>
        <c:ser>
          <c:idx val="1"/>
          <c:order val="2"/>
          <c:tx>
            <c:strRef>
              <c:f>'Monthly Stats Data'!$A$138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April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Sept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</c:strCache>
            </c:strRef>
          </c:cat>
          <c:val>
            <c:numRef>
              <c:f>'Monthly Stats Data'!$B$138:$M$138</c:f>
              <c:numCache>
                <c:formatCode>_(* #,##0_);_(* \(#,##0\);_(* "-"??_);_(@_)</c:formatCode>
                <c:ptCount val="12"/>
                <c:pt idx="0">
                  <c:v>1737</c:v>
                </c:pt>
                <c:pt idx="1">
                  <c:v>1762</c:v>
                </c:pt>
                <c:pt idx="2">
                  <c:v>1523</c:v>
                </c:pt>
                <c:pt idx="3">
                  <c:v>1586</c:v>
                </c:pt>
                <c:pt idx="4" formatCode="#,##0">
                  <c:v>1422</c:v>
                </c:pt>
                <c:pt idx="5">
                  <c:v>1406</c:v>
                </c:pt>
                <c:pt idx="6">
                  <c:v>1395</c:v>
                </c:pt>
                <c:pt idx="7">
                  <c:v>1131</c:v>
                </c:pt>
                <c:pt idx="8">
                  <c:v>818</c:v>
                </c:pt>
                <c:pt idx="9">
                  <c:v>1032</c:v>
                </c:pt>
                <c:pt idx="10">
                  <c:v>1298</c:v>
                </c:pt>
                <c:pt idx="11">
                  <c:v>1475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9A-4AC3-AC01-F1F644C5E0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Data'!$A$139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April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Sept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</c:strCache>
            </c:strRef>
          </c:cat>
          <c:val>
            <c:numRef>
              <c:f>'Monthly Stats Data'!$B$139:$M$139</c:f>
              <c:numCache>
                <c:formatCode>_(* #,##0.0_);_(* \(#,##0.0\);_(* "-"??_);_(@_)</c:formatCode>
                <c:ptCount val="12"/>
                <c:pt idx="0">
                  <c:v>2.7</c:v>
                </c:pt>
                <c:pt idx="1">
                  <c:v>3.1</c:v>
                </c:pt>
                <c:pt idx="2">
                  <c:v>3.2</c:v>
                </c:pt>
                <c:pt idx="3">
                  <c:v>3.1</c:v>
                </c:pt>
                <c:pt idx="4">
                  <c:v>3.3</c:v>
                </c:pt>
                <c:pt idx="5">
                  <c:v>3.4</c:v>
                </c:pt>
                <c:pt idx="6">
                  <c:v>3.4</c:v>
                </c:pt>
                <c:pt idx="7">
                  <c:v>2.9</c:v>
                </c:pt>
                <c:pt idx="8">
                  <c:v>2.2999999999999998</c:v>
                </c:pt>
                <c:pt idx="9">
                  <c:v>2.4</c:v>
                </c:pt>
                <c:pt idx="10">
                  <c:v>2.6</c:v>
                </c:pt>
                <c:pt idx="11">
                  <c:v>2.9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C9A-4AC3-AC01-F1F644C5E020}"/>
            </c:ext>
          </c:extLst>
        </c:ser>
        <c:ser>
          <c:idx val="2"/>
          <c:order val="3"/>
          <c:tx>
            <c:strRef>
              <c:f>'Monthly Stats Data'!$A$140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April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Sept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</c:strCache>
            </c:strRef>
          </c:cat>
          <c:val>
            <c:numRef>
              <c:f>'Monthly Stats Data'!$B$140:$M$140</c:f>
              <c:numCache>
                <c:formatCode>_(* #,##0.0_);_(* \(#,##0.0\);_(* "-"??_);_(@_)</c:formatCode>
                <c:ptCount val="12"/>
                <c:pt idx="0">
                  <c:v>1</c:v>
                </c:pt>
                <c:pt idx="1">
                  <c:v>1.2</c:v>
                </c:pt>
                <c:pt idx="2">
                  <c:v>1.4</c:v>
                </c:pt>
                <c:pt idx="3">
                  <c:v>1.5</c:v>
                </c:pt>
                <c:pt idx="4">
                  <c:v>1.6</c:v>
                </c:pt>
                <c:pt idx="5">
                  <c:v>1.8</c:v>
                </c:pt>
                <c:pt idx="6">
                  <c:v>1.7</c:v>
                </c:pt>
                <c:pt idx="7">
                  <c:v>1.4</c:v>
                </c:pt>
                <c:pt idx="8">
                  <c:v>1.2</c:v>
                </c:pt>
                <c:pt idx="9">
                  <c:v>1.2</c:v>
                </c:pt>
                <c:pt idx="10">
                  <c:v>1.2</c:v>
                </c:pt>
                <c:pt idx="11">
                  <c:v>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C9A-4AC3-AC01-F1F644C5E0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5282993400682179"/>
          <c:y val="0.86435268229202522"/>
          <c:w val="0.71657527714442404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Data'!$Q$137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Data'!$P$141:$P$152</c:f>
              <c:strCache>
                <c:ptCount val="12"/>
                <c:pt idx="0">
                  <c:v>Apr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</c:strCache>
            </c:strRef>
          </c:cat>
          <c:val>
            <c:numRef>
              <c:f>'Monthly Stats Data'!$Q$141:$Q$152</c:f>
              <c:numCache>
                <c:formatCode>_(* #,##0_);_(* \(#,##0\);_(* "-"??_);_(@_)</c:formatCode>
                <c:ptCount val="12"/>
                <c:pt idx="0">
                  <c:v>3749</c:v>
                </c:pt>
                <c:pt idx="1">
                  <c:v>4280</c:v>
                </c:pt>
                <c:pt idx="2">
                  <c:v>4443</c:v>
                </c:pt>
                <c:pt idx="3">
                  <c:v>4436</c:v>
                </c:pt>
                <c:pt idx="4">
                  <c:v>4612</c:v>
                </c:pt>
                <c:pt idx="5">
                  <c:v>4780</c:v>
                </c:pt>
                <c:pt idx="6">
                  <c:v>4768</c:v>
                </c:pt>
                <c:pt idx="7">
                  <c:v>4155</c:v>
                </c:pt>
                <c:pt idx="8">
                  <c:v>3303</c:v>
                </c:pt>
                <c:pt idx="9">
                  <c:v>3408</c:v>
                </c:pt>
                <c:pt idx="10">
                  <c:v>3640</c:v>
                </c:pt>
                <c:pt idx="11">
                  <c:v>4145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0C-488D-88B2-C2EFCEB37EDF}"/>
            </c:ext>
          </c:extLst>
        </c:ser>
        <c:ser>
          <c:idx val="3"/>
          <c:order val="1"/>
          <c:tx>
            <c:strRef>
              <c:f>'Monthly Stats Data'!$T$136:$T$137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Data'!$P$141:$P$152</c:f>
              <c:strCache>
                <c:ptCount val="12"/>
                <c:pt idx="0">
                  <c:v>Apr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</c:strCache>
            </c:strRef>
          </c:cat>
          <c:val>
            <c:numRef>
              <c:f>'Monthly Stats Data'!$T$141:$T$152</c:f>
              <c:numCache>
                <c:formatCode>_(* #,##0_);_(* \(#,##0\);_(* "-"??_);_(@_)</c:formatCode>
                <c:ptCount val="12"/>
                <c:pt idx="0">
                  <c:v>4635</c:v>
                </c:pt>
                <c:pt idx="1">
                  <c:v>4075</c:v>
                </c:pt>
                <c:pt idx="2">
                  <c:v>3910</c:v>
                </c:pt>
                <c:pt idx="3">
                  <c:v>4020</c:v>
                </c:pt>
                <c:pt idx="4">
                  <c:v>3840</c:v>
                </c:pt>
                <c:pt idx="5">
                  <c:v>3675</c:v>
                </c:pt>
                <c:pt idx="6">
                  <c:v>3730</c:v>
                </c:pt>
                <c:pt idx="7">
                  <c:v>4360</c:v>
                </c:pt>
                <c:pt idx="8">
                  <c:v>5150</c:v>
                </c:pt>
                <c:pt idx="9">
                  <c:v>5050</c:v>
                </c:pt>
                <c:pt idx="10">
                  <c:v>4775</c:v>
                </c:pt>
                <c:pt idx="11">
                  <c:v>4290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0C-488D-88B2-C2EFCEB37E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Q1 4 County Unit Sales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9850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7"/>
              <c:layout>
                <c:manualLayout>
                  <c:x val="-3.0257386603218153E-2"/>
                  <c:y val="0.1102621537034577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D78-4760-A66B-7E659BB46FC3}"/>
                </c:ext>
              </c:extLst>
            </c:dLbl>
            <c:dLbl>
              <c:idx val="12"/>
              <c:layout>
                <c:manualLayout>
                  <c:x val="-1.8834364454443194E-2"/>
                  <c:y val="7.90277777777776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78-4760-A66B-7E659BB46FC3}"/>
                </c:ext>
              </c:extLst>
            </c:dLbl>
            <c:dLbl>
              <c:idx val="22"/>
              <c:layout>
                <c:manualLayout>
                  <c:x val="-3.0739126359205244E-2"/>
                  <c:y val="9.29166666666666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D78-4760-A66B-7E659BB46F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'1st Qtr County Data'!$B$185:$B$211</c:f>
              <c:numCache>
                <c:formatCode>General</c:formatCode>
                <c:ptCount val="2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  <c:pt idx="25">
                  <c:v>2025</c:v>
                </c:pt>
                <c:pt idx="26">
                  <c:v>2026</c:v>
                </c:pt>
              </c:numCache>
            </c:numRef>
          </c:cat>
          <c:val>
            <c:numRef>
              <c:f>'1st Qtr County Data'!$C$185:$C$211</c:f>
              <c:numCache>
                <c:formatCode>_(* #,##0_);_(* \(#,##0\);_(* "-"??_);_(@_)</c:formatCode>
                <c:ptCount val="27"/>
                <c:pt idx="0">
                  <c:v>2716</c:v>
                </c:pt>
                <c:pt idx="1">
                  <c:v>3107</c:v>
                </c:pt>
                <c:pt idx="2">
                  <c:v>3371</c:v>
                </c:pt>
                <c:pt idx="3">
                  <c:v>3633</c:v>
                </c:pt>
                <c:pt idx="4">
                  <c:v>3506</c:v>
                </c:pt>
                <c:pt idx="5">
                  <c:v>3727</c:v>
                </c:pt>
                <c:pt idx="6">
                  <c:v>3830</c:v>
                </c:pt>
                <c:pt idx="7">
                  <c:v>3596</c:v>
                </c:pt>
                <c:pt idx="8">
                  <c:v>2673</c:v>
                </c:pt>
                <c:pt idx="9">
                  <c:v>2322</c:v>
                </c:pt>
                <c:pt idx="10">
                  <c:v>2495</c:v>
                </c:pt>
                <c:pt idx="11">
                  <c:v>2377</c:v>
                </c:pt>
                <c:pt idx="12">
                  <c:v>2907</c:v>
                </c:pt>
                <c:pt idx="13">
                  <c:v>3318</c:v>
                </c:pt>
                <c:pt idx="14">
                  <c:v>2996</c:v>
                </c:pt>
                <c:pt idx="15">
                  <c:v>3272</c:v>
                </c:pt>
                <c:pt idx="16">
                  <c:v>3375</c:v>
                </c:pt>
                <c:pt idx="17">
                  <c:v>3498</c:v>
                </c:pt>
                <c:pt idx="18">
                  <c:v>3787</c:v>
                </c:pt>
                <c:pt idx="19">
                  <c:v>3498</c:v>
                </c:pt>
                <c:pt idx="20">
                  <c:v>3825</c:v>
                </c:pt>
                <c:pt idx="21">
                  <c:v>3933</c:v>
                </c:pt>
                <c:pt idx="22">
                  <c:v>4013</c:v>
                </c:pt>
                <c:pt idx="23">
                  <c:v>2879</c:v>
                </c:pt>
                <c:pt idx="24">
                  <c:v>3057</c:v>
                </c:pt>
                <c:pt idx="25">
                  <c:v>3048</c:v>
                </c:pt>
                <c:pt idx="26">
                  <c:v>3113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D78-4760-A66B-7E659BB46F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2796112"/>
        <c:axId val="1967105936"/>
      </c:lineChart>
      <c:catAx>
        <c:axId val="197279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7105936"/>
        <c:crosses val="autoZero"/>
        <c:auto val="1"/>
        <c:lblAlgn val="ctr"/>
        <c:lblOffset val="100"/>
        <c:noMultiLvlLbl val="0"/>
      </c:catAx>
      <c:valAx>
        <c:axId val="1967105936"/>
        <c:scaling>
          <c:orientation val="minMax"/>
          <c:min val="1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796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Q1 4 County Listings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9850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layout>
                <c:manualLayout>
                  <c:x val="-3.0257386603218153E-2"/>
                  <c:y val="0.1102621537034577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63-4074-B081-F4B7E34C9744}"/>
                </c:ext>
              </c:extLst>
            </c:dLbl>
            <c:dLbl>
              <c:idx val="10"/>
              <c:layout>
                <c:manualLayout>
                  <c:x val="-1.8834364454443194E-2"/>
                  <c:y val="7.90277777777776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C63-4074-B081-F4B7E34C9744}"/>
                </c:ext>
              </c:extLst>
            </c:dLbl>
            <c:dLbl>
              <c:idx val="20"/>
              <c:layout>
                <c:manualLayout>
                  <c:x val="-3.0739126359205244E-2"/>
                  <c:y val="9.29166666666666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C63-4074-B081-F4B7E34C97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'1st Qtr County Data'!$B$187:$B$211</c:f>
              <c:numCache>
                <c:formatCode>General</c:formatCode>
                <c:ptCount val="25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  <c:pt idx="20">
                  <c:v>2022</c:v>
                </c:pt>
                <c:pt idx="21">
                  <c:v>2023</c:v>
                </c:pt>
                <c:pt idx="22">
                  <c:v>2024</c:v>
                </c:pt>
                <c:pt idx="23">
                  <c:v>2025</c:v>
                </c:pt>
                <c:pt idx="24">
                  <c:v>2026</c:v>
                </c:pt>
              </c:numCache>
              <c:extLst/>
            </c:numRef>
          </c:cat>
          <c:val>
            <c:numRef>
              <c:f>'1st Qtr County Data'!$F$187:$F$211</c:f>
              <c:numCache>
                <c:formatCode>_(* #,##0_);_(* \(#,##0\);_(* "-"??_);_(@_)</c:formatCode>
                <c:ptCount val="25"/>
                <c:pt idx="0">
                  <c:v>2538</c:v>
                </c:pt>
                <c:pt idx="1">
                  <c:v>5927</c:v>
                </c:pt>
                <c:pt idx="2">
                  <c:v>6312</c:v>
                </c:pt>
                <c:pt idx="3">
                  <c:v>7371</c:v>
                </c:pt>
                <c:pt idx="4">
                  <c:v>9529</c:v>
                </c:pt>
                <c:pt idx="5">
                  <c:v>10246</c:v>
                </c:pt>
                <c:pt idx="6">
                  <c:v>8734</c:v>
                </c:pt>
                <c:pt idx="7">
                  <c:v>8061</c:v>
                </c:pt>
                <c:pt idx="8">
                  <c:v>9213</c:v>
                </c:pt>
                <c:pt idx="9">
                  <c:v>7135</c:v>
                </c:pt>
                <c:pt idx="10">
                  <c:v>7471</c:v>
                </c:pt>
                <c:pt idx="11">
                  <c:v>6350</c:v>
                </c:pt>
                <c:pt idx="12">
                  <c:v>6520</c:v>
                </c:pt>
                <c:pt idx="13">
                  <c:v>6963</c:v>
                </c:pt>
                <c:pt idx="14">
                  <c:v>6535</c:v>
                </c:pt>
                <c:pt idx="15">
                  <c:v>6559</c:v>
                </c:pt>
                <c:pt idx="16">
                  <c:v>6004</c:v>
                </c:pt>
                <c:pt idx="17">
                  <c:v>5522</c:v>
                </c:pt>
                <c:pt idx="18">
                  <c:v>5795</c:v>
                </c:pt>
                <c:pt idx="19">
                  <c:v>5193</c:v>
                </c:pt>
                <c:pt idx="20">
                  <c:v>5167</c:v>
                </c:pt>
                <c:pt idx="21">
                  <c:v>3927</c:v>
                </c:pt>
                <c:pt idx="22">
                  <c:v>4314</c:v>
                </c:pt>
                <c:pt idx="23">
                  <c:v>4516</c:v>
                </c:pt>
                <c:pt idx="24">
                  <c:v>5050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3-6C63-4074-B081-F4B7E34C97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2796112"/>
        <c:axId val="1967105936"/>
      </c:lineChart>
      <c:catAx>
        <c:axId val="197279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7105936"/>
        <c:crosses val="autoZero"/>
        <c:auto val="1"/>
        <c:lblAlgn val="ctr"/>
        <c:lblOffset val="100"/>
        <c:noMultiLvlLbl val="0"/>
      </c:catAx>
      <c:valAx>
        <c:axId val="1967105936"/>
        <c:scaling>
          <c:orientation val="minMax"/>
          <c:min val="1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796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Q1</a:t>
            </a:r>
            <a:r>
              <a:rPr lang="en-US" baseline="0">
                <a:solidFill>
                  <a:sysClr val="windowText" lastClr="000000"/>
                </a:solidFill>
              </a:rPr>
              <a:t> </a:t>
            </a:r>
            <a:r>
              <a:rPr lang="en-US">
                <a:solidFill>
                  <a:sysClr val="windowText" lastClr="000000"/>
                </a:solidFill>
              </a:rPr>
              <a:t>4 County Avg Sale Price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'1st Qtr County Data'!$B$185:$B$211</c:f>
              <c:numCache>
                <c:formatCode>General</c:formatCode>
                <c:ptCount val="2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  <c:pt idx="25">
                  <c:v>2025</c:v>
                </c:pt>
                <c:pt idx="26">
                  <c:v>2026</c:v>
                </c:pt>
              </c:numCache>
            </c:numRef>
          </c:cat>
          <c:val>
            <c:numRef>
              <c:f>'1st Qtr County Data'!$D$185:$D$211</c:f>
              <c:numCache>
                <c:formatCode>_("$"* #,##0_);_("$"* \(#,##0\);_("$"* "-"??_);_(@_)</c:formatCode>
                <c:ptCount val="27"/>
                <c:pt idx="0">
                  <c:v>169447.75</c:v>
                </c:pt>
                <c:pt idx="1">
                  <c:v>179108</c:v>
                </c:pt>
                <c:pt idx="2">
                  <c:v>192758.25</c:v>
                </c:pt>
                <c:pt idx="3">
                  <c:v>208126.75</c:v>
                </c:pt>
                <c:pt idx="4">
                  <c:v>221490.25</c:v>
                </c:pt>
                <c:pt idx="5">
                  <c:v>233178.25</c:v>
                </c:pt>
                <c:pt idx="6">
                  <c:v>254012.5</c:v>
                </c:pt>
                <c:pt idx="7">
                  <c:v>245821</c:v>
                </c:pt>
                <c:pt idx="8">
                  <c:v>240043.25</c:v>
                </c:pt>
                <c:pt idx="9">
                  <c:v>220256.25</c:v>
                </c:pt>
                <c:pt idx="10">
                  <c:v>220411.75</c:v>
                </c:pt>
                <c:pt idx="11">
                  <c:v>205388.75</c:v>
                </c:pt>
                <c:pt idx="12">
                  <c:v>197020.25</c:v>
                </c:pt>
                <c:pt idx="13">
                  <c:v>207095.5</c:v>
                </c:pt>
                <c:pt idx="14">
                  <c:v>210532.75</c:v>
                </c:pt>
                <c:pt idx="15">
                  <c:v>220453.75</c:v>
                </c:pt>
                <c:pt idx="16">
                  <c:v>241377.25</c:v>
                </c:pt>
                <c:pt idx="17">
                  <c:v>243381.25</c:v>
                </c:pt>
                <c:pt idx="18">
                  <c:v>270079.25</c:v>
                </c:pt>
                <c:pt idx="19">
                  <c:v>271159</c:v>
                </c:pt>
                <c:pt idx="20">
                  <c:v>300617.5</c:v>
                </c:pt>
                <c:pt idx="21">
                  <c:v>334638.25</c:v>
                </c:pt>
                <c:pt idx="22">
                  <c:v>366483</c:v>
                </c:pt>
                <c:pt idx="23">
                  <c:v>383797.25</c:v>
                </c:pt>
                <c:pt idx="24">
                  <c:v>417785</c:v>
                </c:pt>
                <c:pt idx="25">
                  <c:v>435646</c:v>
                </c:pt>
                <c:pt idx="26">
                  <c:v>457447.5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01-442C-800B-379383BCC7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1962179392"/>
        <c:axId val="1962179808"/>
      </c:barChart>
      <c:catAx>
        <c:axId val="1962179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2179808"/>
        <c:crosses val="autoZero"/>
        <c:auto val="1"/>
        <c:lblAlgn val="ctr"/>
        <c:lblOffset val="100"/>
        <c:noMultiLvlLbl val="0"/>
      </c:catAx>
      <c:valAx>
        <c:axId val="1962179808"/>
        <c:scaling>
          <c:orientation val="minMax"/>
          <c:max val="47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_);_(&quot;$&quot;* \(#,##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2179392"/>
        <c:crosses val="autoZero"/>
        <c:crossBetween val="between"/>
        <c:minorUnit val="50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Q1 7 County Total Sales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9850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7"/>
              <c:layout>
                <c:manualLayout>
                  <c:x val="-2.7508986737150416E-2"/>
                  <c:y val="0.1223179364834313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C60-46B1-ACBA-8F51D5CED4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'1st Qtr County Data'!$B$315:$B$341</c:f>
              <c:numCache>
                <c:formatCode>General</c:formatCode>
                <c:ptCount val="2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  <c:pt idx="25">
                  <c:v>2025</c:v>
                </c:pt>
                <c:pt idx="26">
                  <c:v>2026</c:v>
                </c:pt>
              </c:numCache>
            </c:numRef>
          </c:cat>
          <c:val>
            <c:numRef>
              <c:f>'1st Qtr County Data'!$C$315:$C$341</c:f>
              <c:numCache>
                <c:formatCode>_(* #,##0_);_(* \(#,##0\);_(* "-"??_);_(@_)</c:formatCode>
                <c:ptCount val="27"/>
                <c:pt idx="0">
                  <c:v>3715</c:v>
                </c:pt>
                <c:pt idx="1">
                  <c:v>4188</c:v>
                </c:pt>
                <c:pt idx="2">
                  <c:v>4611</c:v>
                </c:pt>
                <c:pt idx="3">
                  <c:v>4792</c:v>
                </c:pt>
                <c:pt idx="4">
                  <c:v>4843</c:v>
                </c:pt>
                <c:pt idx="5">
                  <c:v>5016</c:v>
                </c:pt>
                <c:pt idx="6">
                  <c:v>5122</c:v>
                </c:pt>
                <c:pt idx="7">
                  <c:v>4740</c:v>
                </c:pt>
                <c:pt idx="8">
                  <c:v>3551</c:v>
                </c:pt>
                <c:pt idx="9">
                  <c:v>2944</c:v>
                </c:pt>
                <c:pt idx="10">
                  <c:v>3339</c:v>
                </c:pt>
                <c:pt idx="11">
                  <c:v>3184</c:v>
                </c:pt>
                <c:pt idx="12">
                  <c:v>3878</c:v>
                </c:pt>
                <c:pt idx="13">
                  <c:v>4449</c:v>
                </c:pt>
                <c:pt idx="14">
                  <c:v>4021</c:v>
                </c:pt>
                <c:pt idx="15">
                  <c:v>4374</c:v>
                </c:pt>
                <c:pt idx="16">
                  <c:v>4611</c:v>
                </c:pt>
                <c:pt idx="17">
                  <c:v>4625</c:v>
                </c:pt>
                <c:pt idx="18">
                  <c:v>5047</c:v>
                </c:pt>
                <c:pt idx="19">
                  <c:v>4710</c:v>
                </c:pt>
                <c:pt idx="20">
                  <c:v>5083</c:v>
                </c:pt>
                <c:pt idx="21">
                  <c:v>5343</c:v>
                </c:pt>
                <c:pt idx="22">
                  <c:v>5390</c:v>
                </c:pt>
                <c:pt idx="23">
                  <c:v>3882</c:v>
                </c:pt>
                <c:pt idx="24">
                  <c:v>4074</c:v>
                </c:pt>
                <c:pt idx="25">
                  <c:v>3977</c:v>
                </c:pt>
                <c:pt idx="26">
                  <c:v>4084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C60-46B1-ACBA-8F51D5CED4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2346336"/>
        <c:axId val="1972343008"/>
      </c:lineChart>
      <c:catAx>
        <c:axId val="197234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343008"/>
        <c:crosses val="autoZero"/>
        <c:auto val="1"/>
        <c:lblAlgn val="ctr"/>
        <c:lblOffset val="100"/>
        <c:noMultiLvlLbl val="0"/>
      </c:catAx>
      <c:valAx>
        <c:axId val="1972343008"/>
        <c:scaling>
          <c:orientation val="minMax"/>
          <c:min val="1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346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Q1 7 County Listings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9850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layout>
                <c:manualLayout>
                  <c:x val="-2.7508986737150416E-2"/>
                  <c:y val="0.1223179364834313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C4-4B3B-A3D7-1FE0BE42E0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'1st Qtr County Data'!$B$317:$B$341</c:f>
              <c:numCache>
                <c:formatCode>General</c:formatCode>
                <c:ptCount val="25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  <c:pt idx="20">
                  <c:v>2022</c:v>
                </c:pt>
                <c:pt idx="21">
                  <c:v>2023</c:v>
                </c:pt>
                <c:pt idx="22">
                  <c:v>2024</c:v>
                </c:pt>
                <c:pt idx="23">
                  <c:v>2025</c:v>
                </c:pt>
                <c:pt idx="24">
                  <c:v>2026</c:v>
                </c:pt>
              </c:numCache>
              <c:extLst/>
            </c:numRef>
          </c:cat>
          <c:val>
            <c:numRef>
              <c:f>'1st Qtr County Data'!$F$317:$F$341</c:f>
              <c:numCache>
                <c:formatCode>_(* #,##0_);_(* \(#,##0\);_(* "-"??_);_(@_)</c:formatCode>
                <c:ptCount val="25"/>
                <c:pt idx="0">
                  <c:v>4648</c:v>
                </c:pt>
                <c:pt idx="1">
                  <c:v>8253</c:v>
                </c:pt>
                <c:pt idx="2">
                  <c:v>8732</c:v>
                </c:pt>
                <c:pt idx="3">
                  <c:v>9961</c:v>
                </c:pt>
                <c:pt idx="4">
                  <c:v>12894</c:v>
                </c:pt>
                <c:pt idx="5">
                  <c:v>13978</c:v>
                </c:pt>
                <c:pt idx="6">
                  <c:v>12029</c:v>
                </c:pt>
                <c:pt idx="7">
                  <c:v>11008</c:v>
                </c:pt>
                <c:pt idx="8">
                  <c:v>12631</c:v>
                </c:pt>
                <c:pt idx="9">
                  <c:v>9715</c:v>
                </c:pt>
                <c:pt idx="10">
                  <c:v>10067</c:v>
                </c:pt>
                <c:pt idx="11">
                  <c:v>7215</c:v>
                </c:pt>
                <c:pt idx="12">
                  <c:v>8007</c:v>
                </c:pt>
                <c:pt idx="13">
                  <c:v>8601</c:v>
                </c:pt>
                <c:pt idx="14">
                  <c:v>8701</c:v>
                </c:pt>
                <c:pt idx="15">
                  <c:v>8745</c:v>
                </c:pt>
                <c:pt idx="16">
                  <c:v>7942</c:v>
                </c:pt>
                <c:pt idx="17">
                  <c:v>7381</c:v>
                </c:pt>
                <c:pt idx="18">
                  <c:v>7782</c:v>
                </c:pt>
                <c:pt idx="19">
                  <c:v>6786</c:v>
                </c:pt>
                <c:pt idx="20">
                  <c:v>6736</c:v>
                </c:pt>
                <c:pt idx="21">
                  <c:v>5231</c:v>
                </c:pt>
                <c:pt idx="22">
                  <c:v>5705</c:v>
                </c:pt>
                <c:pt idx="23">
                  <c:v>5940</c:v>
                </c:pt>
                <c:pt idx="24">
                  <c:v>6519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82C4-4B3B-A3D7-1FE0BE42E0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2346336"/>
        <c:axId val="1972343008"/>
      </c:lineChart>
      <c:catAx>
        <c:axId val="197234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343008"/>
        <c:crosses val="autoZero"/>
        <c:auto val="1"/>
        <c:lblAlgn val="ctr"/>
        <c:lblOffset val="100"/>
        <c:noMultiLvlLbl val="0"/>
      </c:catAx>
      <c:valAx>
        <c:axId val="1972343008"/>
        <c:scaling>
          <c:orientation val="minMax"/>
          <c:min val="1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346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Q1</a:t>
            </a:r>
            <a:r>
              <a:rPr lang="en-US" baseline="0">
                <a:solidFill>
                  <a:sysClr val="windowText" lastClr="000000"/>
                </a:solidFill>
              </a:rPr>
              <a:t> </a:t>
            </a:r>
            <a:r>
              <a:rPr lang="en-US">
                <a:solidFill>
                  <a:sysClr val="windowText" lastClr="000000"/>
                </a:solidFill>
              </a:rPr>
              <a:t>7 County</a:t>
            </a:r>
            <a:r>
              <a:rPr lang="en-US" baseline="0">
                <a:solidFill>
                  <a:sysClr val="windowText" lastClr="000000"/>
                </a:solidFill>
              </a:rPr>
              <a:t> Avg Sale Price</a:t>
            </a:r>
            <a:endParaRPr lang="en-US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'1st Qtr County Data'!$B$315:$B$341</c:f>
              <c:numCache>
                <c:formatCode>General</c:formatCode>
                <c:ptCount val="2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  <c:pt idx="25">
                  <c:v>2025</c:v>
                </c:pt>
                <c:pt idx="26">
                  <c:v>2026</c:v>
                </c:pt>
              </c:numCache>
            </c:numRef>
          </c:cat>
          <c:val>
            <c:numRef>
              <c:f>'1st Qtr County Data'!$D$315:$D$341</c:f>
              <c:numCache>
                <c:formatCode>_("$"* #,##0_);_("$"* \(#,##0\);_("$"* "-"??_);_(@_)</c:formatCode>
                <c:ptCount val="27"/>
                <c:pt idx="0">
                  <c:v>155170.28571428571</c:v>
                </c:pt>
                <c:pt idx="1">
                  <c:v>162517.71428571429</c:v>
                </c:pt>
                <c:pt idx="2">
                  <c:v>172249.71428571429</c:v>
                </c:pt>
                <c:pt idx="3">
                  <c:v>188089.71428571429</c:v>
                </c:pt>
                <c:pt idx="4">
                  <c:v>200225.71428571429</c:v>
                </c:pt>
                <c:pt idx="5">
                  <c:v>219169.57142857142</c:v>
                </c:pt>
                <c:pt idx="6">
                  <c:v>233539.71428571429</c:v>
                </c:pt>
                <c:pt idx="7">
                  <c:v>234413.85714285713</c:v>
                </c:pt>
                <c:pt idx="8">
                  <c:v>225345.71428571429</c:v>
                </c:pt>
                <c:pt idx="9">
                  <c:v>200714</c:v>
                </c:pt>
                <c:pt idx="10">
                  <c:v>196896.14285714287</c:v>
                </c:pt>
                <c:pt idx="11" formatCode="_(* #,##0_);_(* \(#,##0\);_(* &quot;-&quot;??_);_(@_)">
                  <c:v>181497</c:v>
                </c:pt>
                <c:pt idx="12">
                  <c:v>176649.71428571429</c:v>
                </c:pt>
                <c:pt idx="13">
                  <c:v>184704.28571428571</c:v>
                </c:pt>
                <c:pt idx="14">
                  <c:v>176077.42857142858</c:v>
                </c:pt>
                <c:pt idx="15">
                  <c:v>206008.28571428571</c:v>
                </c:pt>
                <c:pt idx="16">
                  <c:v>214226.28571428571</c:v>
                </c:pt>
                <c:pt idx="17">
                  <c:v>231040</c:v>
                </c:pt>
                <c:pt idx="18">
                  <c:v>257044.85714285713</c:v>
                </c:pt>
                <c:pt idx="19">
                  <c:v>248755.28571428571</c:v>
                </c:pt>
                <c:pt idx="20">
                  <c:v>280496.85714285716</c:v>
                </c:pt>
                <c:pt idx="21">
                  <c:v>318194.71428571426</c:v>
                </c:pt>
                <c:pt idx="22">
                  <c:v>352443.14285714284</c:v>
                </c:pt>
                <c:pt idx="23">
                  <c:v>357827.42857142858</c:v>
                </c:pt>
                <c:pt idx="24">
                  <c:v>399502.14285714284</c:v>
                </c:pt>
                <c:pt idx="25">
                  <c:v>416442.28571428574</c:v>
                </c:pt>
                <c:pt idx="26">
                  <c:v>447445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DD-424D-AD76-8F8EBE71EF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1962183136"/>
        <c:axId val="1962174400"/>
      </c:barChart>
      <c:catAx>
        <c:axId val="1962183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2174400"/>
        <c:crosses val="autoZero"/>
        <c:auto val="1"/>
        <c:lblAlgn val="ctr"/>
        <c:lblOffset val="100"/>
        <c:noMultiLvlLbl val="0"/>
      </c:catAx>
      <c:valAx>
        <c:axId val="1962174400"/>
        <c:scaling>
          <c:orientation val="minMax"/>
          <c:max val="45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_);_(&quot;$&quot;* \(#,##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2183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1276</Words>
  <Characters>6460</Characters>
  <Application>Microsoft Office Word</Application>
  <DocSecurity>0</DocSecurity>
  <Lines>403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5</cp:revision>
  <cp:lastPrinted>2026-04-13T18:48:00Z</cp:lastPrinted>
  <dcterms:created xsi:type="dcterms:W3CDTF">2026-04-13T18:36:00Z</dcterms:created>
  <dcterms:modified xsi:type="dcterms:W3CDTF">2026-04-13T19:34:00Z</dcterms:modified>
</cp:coreProperties>
</file>