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FBFF" w14:textId="1ADE0D7F" w:rsidR="00127EF0" w:rsidRDefault="001C3CE4" w:rsidP="001F5CBD">
      <w:pPr>
        <w:jc w:val="center"/>
        <w:rPr>
          <w:sz w:val="24"/>
          <w:szCs w:val="24"/>
        </w:rPr>
      </w:pPr>
      <w:bookmarkStart w:id="0" w:name="_MailOriginal"/>
      <w:r>
        <w:rPr>
          <w:noProof/>
        </w:rPr>
        <mc:AlternateContent>
          <mc:Choice Requires="wps">
            <w:drawing>
              <wp:anchor distT="0" distB="0" distL="114300" distR="114300" simplePos="0" relativeHeight="251667456" behindDoc="0" locked="0" layoutInCell="1" allowOverlap="1" wp14:anchorId="29A976A9" wp14:editId="7452784D">
                <wp:simplePos x="0" y="0"/>
                <wp:positionH relativeFrom="column">
                  <wp:posOffset>4086225</wp:posOffset>
                </wp:positionH>
                <wp:positionV relativeFrom="paragraph">
                  <wp:posOffset>-581025</wp:posOffset>
                </wp:positionV>
                <wp:extent cx="2298700" cy="1209675"/>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1209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14E3067F" w:rsidR="00AD4C46" w:rsidRPr="000478F6" w:rsidRDefault="00B552ED" w:rsidP="006E0DB1">
                            <w:pPr>
                              <w:ind w:firstLine="720"/>
                              <w:jc w:val="right"/>
                              <w:rPr>
                                <w:b/>
                                <w:color w:val="FFFFFF" w:themeColor="background1"/>
                                <w:sz w:val="26"/>
                                <w:szCs w:val="26"/>
                              </w:rPr>
                            </w:pPr>
                            <w:r>
                              <w:rPr>
                                <w:b/>
                                <w:color w:val="FFFFFF" w:themeColor="background1"/>
                                <w:sz w:val="26"/>
                                <w:szCs w:val="26"/>
                              </w:rPr>
                              <w:t>June</w:t>
                            </w:r>
                            <w:r w:rsidR="00526EFF">
                              <w:rPr>
                                <w:b/>
                                <w:color w:val="FFFFFF" w:themeColor="background1"/>
                                <w:sz w:val="26"/>
                                <w:szCs w:val="26"/>
                              </w:rPr>
                              <w:t xml:space="preserve"> 1</w:t>
                            </w:r>
                            <w:r>
                              <w:rPr>
                                <w:b/>
                                <w:color w:val="FFFFFF" w:themeColor="background1"/>
                                <w:sz w:val="26"/>
                                <w:szCs w:val="26"/>
                              </w:rPr>
                              <w:t>1</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6" style="position:absolute;left:0;text-align:left;margin-left:321.75pt;margin-top:-45.75pt;width:181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" filled="f" stroked="f" strokeweight="1pt">
                <v:textbox>
                  <w:txbxContent>
                    <w:p w14:paraId="647EB74D" w14:textId="14E3067F" w:rsidR="00AD4C46" w:rsidRPr="000478F6" w:rsidRDefault="00B552ED" w:rsidP="006E0DB1">
                      <w:pPr>
                        <w:ind w:firstLine="720"/>
                        <w:jc w:val="right"/>
                        <w:rPr>
                          <w:b/>
                          <w:color w:val="FFFFFF" w:themeColor="background1"/>
                          <w:sz w:val="26"/>
                          <w:szCs w:val="26"/>
                        </w:rPr>
                      </w:pPr>
                      <w:r>
                        <w:rPr>
                          <w:b/>
                          <w:color w:val="FFFFFF" w:themeColor="background1"/>
                          <w:sz w:val="26"/>
                          <w:szCs w:val="26"/>
                        </w:rPr>
                        <w:t>June</w:t>
                      </w:r>
                      <w:r w:rsidR="00526EFF">
                        <w:rPr>
                          <w:b/>
                          <w:color w:val="FFFFFF" w:themeColor="background1"/>
                          <w:sz w:val="26"/>
                          <w:szCs w:val="26"/>
                        </w:rPr>
                        <w:t xml:space="preserve"> 1</w:t>
                      </w:r>
                      <w:r>
                        <w:rPr>
                          <w:b/>
                          <w:color w:val="FFFFFF" w:themeColor="background1"/>
                          <w:sz w:val="26"/>
                          <w:szCs w:val="26"/>
                        </w:rPr>
                        <w:t>1</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FA0332F" wp14:editId="3D22F3BD">
                <wp:simplePos x="0" y="0"/>
                <wp:positionH relativeFrom="column">
                  <wp:posOffset>-914400</wp:posOffset>
                </wp:positionH>
                <wp:positionV relativeFrom="paragraph">
                  <wp:posOffset>-647700</wp:posOffset>
                </wp:positionV>
                <wp:extent cx="3429000" cy="143446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34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7" style="position:absolute;left:0;text-align:left;margin-left:-1in;margin-top:-51pt;width:270pt;height:1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D31EA" w:rsidR="00127EF0" w:rsidRDefault="00127EF0" w:rsidP="00127EF0">
      <w:pPr>
        <w:jc w:val="center"/>
        <w:rPr>
          <w:rFonts w:eastAsia="Times New Roman"/>
          <w:b/>
          <w:bCs/>
          <w:sz w:val="24"/>
          <w:szCs w:val="24"/>
        </w:rPr>
      </w:pPr>
    </w:p>
    <w:p w14:paraId="2E9EC9D0" w14:textId="28BC2847" w:rsidR="001F5CBD" w:rsidRPr="00DB59A4" w:rsidRDefault="001F5CBD" w:rsidP="00127EF0">
      <w:pPr>
        <w:spacing w:before="120" w:after="120"/>
        <w:ind w:left="-360" w:right="-360"/>
        <w:jc w:val="center"/>
        <w:rPr>
          <w:rFonts w:ascii="Arial Narrow" w:hAnsi="Arial Narrow"/>
          <w:b/>
          <w:bCs/>
          <w:sz w:val="32"/>
          <w:szCs w:val="32"/>
        </w:rPr>
      </w:pPr>
    </w:p>
    <w:p w14:paraId="4EFD022F" w14:textId="67FFBFD4" w:rsidR="00127EF0" w:rsidRPr="00AD4C46" w:rsidRDefault="00B552ED" w:rsidP="00AD4C46">
      <w:pPr>
        <w:pStyle w:val="Heading1"/>
      </w:pPr>
      <w:r>
        <w:t>May</w:t>
      </w:r>
      <w:r w:rsidR="00681DC8" w:rsidRPr="00AD4C46">
        <w:t xml:space="preserve"> </w:t>
      </w:r>
      <w:r w:rsidR="007928FE" w:rsidRPr="00AD4C46">
        <w:t xml:space="preserve">Home </w:t>
      </w:r>
      <w:r w:rsidR="00681DC8" w:rsidRPr="00AD4C46">
        <w:t xml:space="preserve">Sales </w:t>
      </w:r>
      <w:r>
        <w:t>Up 6.3</w:t>
      </w:r>
      <w:r w:rsidR="00681DC8" w:rsidRPr="00AD4C46">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280"/>
        <w:gridCol w:w="1465"/>
      </w:tblGrid>
      <w:tr w:rsidR="00E913B2" w:rsidRPr="002F2B80" w14:paraId="24B40EB5" w14:textId="77777777" w:rsidTr="00E8190F">
        <w:trPr>
          <w:trHeight w:val="360"/>
        </w:trPr>
        <w:tc>
          <w:tcPr>
            <w:tcW w:w="8280"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465"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E8190F">
        <w:trPr>
          <w:gridAfter w:val="1"/>
          <w:wAfter w:w="1465" w:type="dxa"/>
          <w:trHeight w:val="360"/>
        </w:trPr>
        <w:tc>
          <w:tcPr>
            <w:tcW w:w="8280" w:type="dxa"/>
            <w:vAlign w:val="center"/>
          </w:tcPr>
          <w:p w14:paraId="2AA4FD63" w14:textId="39A77B42" w:rsidR="00E302C4" w:rsidRPr="002F2B80" w:rsidRDefault="00C547F1" w:rsidP="00B20739">
            <w:pPr>
              <w:pStyle w:val="ListParagraph"/>
              <w:ind w:left="510"/>
              <w:rPr>
                <w:sz w:val="24"/>
                <w:szCs w:val="24"/>
              </w:rPr>
            </w:pPr>
            <w:bookmarkStart w:id="1" w:name="_Hlk195533650"/>
            <w:r>
              <w:rPr>
                <w:sz w:val="24"/>
                <w:szCs w:val="24"/>
              </w:rPr>
              <w:t xml:space="preserve">Sales </w:t>
            </w:r>
            <w:r w:rsidR="00801B2E">
              <w:rPr>
                <w:sz w:val="24"/>
                <w:szCs w:val="24"/>
              </w:rPr>
              <w:t>Increase</w:t>
            </w:r>
            <w:r w:rsidR="00E85892">
              <w:rPr>
                <w:sz w:val="24"/>
                <w:szCs w:val="24"/>
              </w:rPr>
              <w:t xml:space="preserve">d for the Fourth Month in </w:t>
            </w:r>
            <w:r w:rsidR="00CA574D">
              <w:rPr>
                <w:sz w:val="24"/>
                <w:szCs w:val="24"/>
              </w:rPr>
              <w:t>a Row</w:t>
            </w:r>
            <w:r w:rsidR="00F3700A">
              <w:rPr>
                <w:sz w:val="24"/>
                <w:szCs w:val="24"/>
              </w:rPr>
              <w:t xml:space="preserve"> </w:t>
            </w:r>
          </w:p>
        </w:tc>
      </w:tr>
      <w:tr w:rsidR="00E302C4" w:rsidRPr="002F2B80" w14:paraId="786D284B" w14:textId="77777777" w:rsidTr="00E8190F">
        <w:trPr>
          <w:gridAfter w:val="1"/>
          <w:wAfter w:w="1465" w:type="dxa"/>
          <w:trHeight w:val="360"/>
        </w:trPr>
        <w:tc>
          <w:tcPr>
            <w:tcW w:w="8280" w:type="dxa"/>
            <w:vAlign w:val="center"/>
          </w:tcPr>
          <w:p w14:paraId="1B827FCA" w14:textId="6F09F669" w:rsidR="00E302C4" w:rsidRPr="007B1281" w:rsidRDefault="00F418DC" w:rsidP="00B20739">
            <w:pPr>
              <w:pStyle w:val="ListParagraph"/>
              <w:ind w:left="510"/>
              <w:rPr>
                <w:sz w:val="24"/>
                <w:szCs w:val="24"/>
              </w:rPr>
            </w:pPr>
            <w:r>
              <w:rPr>
                <w:sz w:val="24"/>
                <w:szCs w:val="24"/>
              </w:rPr>
              <w:t xml:space="preserve">Metro </w:t>
            </w:r>
            <w:r w:rsidRPr="008C345B">
              <w:rPr>
                <w:sz w:val="24"/>
                <w:szCs w:val="24"/>
              </w:rPr>
              <w:t>Prices Up</w:t>
            </w:r>
            <w:r w:rsidR="000008FC">
              <w:rPr>
                <w:sz w:val="24"/>
                <w:szCs w:val="24"/>
              </w:rPr>
              <w:t xml:space="preserve"> </w:t>
            </w:r>
            <w:r w:rsidR="000023B2">
              <w:rPr>
                <w:sz w:val="24"/>
                <w:szCs w:val="24"/>
              </w:rPr>
              <w:t>6.6</w:t>
            </w:r>
            <w:r w:rsidR="00F3700A">
              <w:rPr>
                <w:sz w:val="24"/>
                <w:szCs w:val="24"/>
              </w:rPr>
              <w:t>%, Average of $4</w:t>
            </w:r>
            <w:r w:rsidR="000023B2">
              <w:rPr>
                <w:sz w:val="24"/>
                <w:szCs w:val="24"/>
              </w:rPr>
              <w:t>50</w:t>
            </w:r>
            <w:r w:rsidR="00F3700A">
              <w:rPr>
                <w:sz w:val="24"/>
                <w:szCs w:val="24"/>
              </w:rPr>
              <w:t>,</w:t>
            </w:r>
            <w:r w:rsidR="000023B2">
              <w:rPr>
                <w:sz w:val="24"/>
                <w:szCs w:val="24"/>
              </w:rPr>
              <w:t>393</w:t>
            </w:r>
            <w:r w:rsidR="00F3700A">
              <w:rPr>
                <w:sz w:val="24"/>
                <w:szCs w:val="24"/>
              </w:rPr>
              <w:t xml:space="preserve"> </w:t>
            </w:r>
          </w:p>
        </w:tc>
      </w:tr>
      <w:tr w:rsidR="00E302C4" w:rsidRPr="002F2B80" w14:paraId="07DD8276" w14:textId="77777777" w:rsidTr="00E8190F">
        <w:trPr>
          <w:gridAfter w:val="1"/>
          <w:wAfter w:w="1465" w:type="dxa"/>
          <w:trHeight w:val="360"/>
        </w:trPr>
        <w:tc>
          <w:tcPr>
            <w:tcW w:w="8280" w:type="dxa"/>
            <w:vAlign w:val="center"/>
          </w:tcPr>
          <w:p w14:paraId="0EAFC321" w14:textId="3695AC4C" w:rsidR="00E302C4" w:rsidRPr="002F2B80" w:rsidRDefault="0029714D" w:rsidP="00B20739">
            <w:pPr>
              <w:pStyle w:val="ListParagraph"/>
              <w:ind w:left="510"/>
              <w:rPr>
                <w:sz w:val="24"/>
                <w:szCs w:val="24"/>
              </w:rPr>
            </w:pPr>
            <w:r>
              <w:rPr>
                <w:sz w:val="24"/>
                <w:szCs w:val="24"/>
              </w:rPr>
              <w:t xml:space="preserve">Supply </w:t>
            </w:r>
            <w:r w:rsidR="00CA574D">
              <w:rPr>
                <w:sz w:val="24"/>
                <w:szCs w:val="24"/>
              </w:rPr>
              <w:t xml:space="preserve">Improving, But Much More </w:t>
            </w:r>
            <w:r w:rsidR="000008FC">
              <w:rPr>
                <w:sz w:val="24"/>
                <w:szCs w:val="24"/>
              </w:rPr>
              <w:t xml:space="preserve">Still </w:t>
            </w:r>
            <w:r>
              <w:rPr>
                <w:sz w:val="24"/>
                <w:szCs w:val="24"/>
              </w:rPr>
              <w:t>Needed</w:t>
            </w:r>
            <w:r w:rsidR="00F3700A">
              <w:rPr>
                <w:sz w:val="24"/>
                <w:szCs w:val="24"/>
              </w:rPr>
              <w:t xml:space="preserve"> </w:t>
            </w:r>
          </w:p>
        </w:tc>
      </w:tr>
      <w:bookmarkEnd w:id="1"/>
    </w:tbl>
    <w:p w14:paraId="59E3EC39" w14:textId="29106778" w:rsidR="00E302C4" w:rsidRDefault="00E302C4" w:rsidP="00E913B2">
      <w:pPr>
        <w:spacing w:before="120" w:after="120"/>
        <w:ind w:right="-360"/>
        <w:rPr>
          <w:sz w:val="24"/>
          <w:szCs w:val="24"/>
        </w:rPr>
      </w:pPr>
    </w:p>
    <w:tbl>
      <w:tblPr>
        <w:tblpPr w:leftFromText="187" w:rightFromText="288" w:bottomFromText="115" w:vertAnchor="text" w:horzAnchor="margin" w:tblpXSpec="right" w:tblpY="323"/>
        <w:tblW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2"/>
        <w:gridCol w:w="846"/>
        <w:gridCol w:w="689"/>
        <w:gridCol w:w="943"/>
      </w:tblGrid>
      <w:tr w:rsidR="00526EFF" w:rsidRPr="00627017" w14:paraId="0DCA9E5D" w14:textId="77777777" w:rsidTr="00526EFF">
        <w:trPr>
          <w:trHeight w:val="360"/>
        </w:trPr>
        <w:tc>
          <w:tcPr>
            <w:tcW w:w="3860" w:type="dxa"/>
            <w:gridSpan w:val="4"/>
            <w:tcBorders>
              <w:top w:val="nil"/>
              <w:left w:val="nil"/>
              <w:bottom w:val="single" w:sz="8" w:space="0" w:color="FFFFFF" w:themeColor="background1"/>
              <w:right w:val="nil"/>
            </w:tcBorders>
            <w:tcMar>
              <w:top w:w="0" w:type="dxa"/>
              <w:left w:w="108" w:type="dxa"/>
              <w:bottom w:w="0" w:type="dxa"/>
              <w:right w:w="108" w:type="dxa"/>
            </w:tcMar>
            <w:vAlign w:val="center"/>
          </w:tcPr>
          <w:p w14:paraId="748E2FBF" w14:textId="04493F24" w:rsidR="00526EFF" w:rsidRPr="00D42F01" w:rsidRDefault="007C6319" w:rsidP="00526EFF">
            <w:pPr>
              <w:spacing w:line="252" w:lineRule="auto"/>
              <w:ind w:left="-20" w:right="-15"/>
              <w:rPr>
                <w:rFonts w:ascii="Arial" w:hAnsi="Arial" w:cs="Arial"/>
                <w:sz w:val="22"/>
              </w:rPr>
            </w:pPr>
            <w:r>
              <w:rPr>
                <w:rFonts w:ascii="Arial" w:hAnsi="Arial" w:cs="Arial"/>
                <w:b/>
                <w:bCs/>
                <w:sz w:val="22"/>
              </w:rPr>
              <w:t>May</w:t>
            </w:r>
            <w:r w:rsidR="00526EFF" w:rsidRPr="00D42F01">
              <w:rPr>
                <w:rFonts w:ascii="Arial" w:hAnsi="Arial" w:cs="Arial"/>
                <w:b/>
                <w:bCs/>
                <w:sz w:val="22"/>
              </w:rPr>
              <w:t xml:space="preserve"> Sales</w:t>
            </w:r>
            <w:r w:rsidR="00E85892">
              <w:rPr>
                <w:rFonts w:ascii="Arial" w:hAnsi="Arial" w:cs="Arial"/>
                <w:b/>
                <w:bCs/>
                <w:sz w:val="22"/>
              </w:rPr>
              <w:t xml:space="preserve"> </w:t>
            </w:r>
          </w:p>
        </w:tc>
      </w:tr>
      <w:tr w:rsidR="00526EFF" w:rsidRPr="00627017" w14:paraId="6192756D" w14:textId="77777777" w:rsidTr="00D9687A">
        <w:trPr>
          <w:trHeight w:val="288"/>
        </w:trPr>
        <w:tc>
          <w:tcPr>
            <w:tcW w:w="138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3129FF85" w14:textId="77777777" w:rsidR="00526EFF" w:rsidRPr="00627017" w:rsidRDefault="00526EFF" w:rsidP="00D9687A">
            <w:pPr>
              <w:spacing w:line="252" w:lineRule="auto"/>
              <w:ind w:left="62" w:right="100"/>
              <w:rPr>
                <w:rFonts w:ascii="Arial" w:hAnsi="Arial" w:cs="Arial"/>
                <w:color w:val="FFFFFF" w:themeColor="background1"/>
                <w:sz w:val="20"/>
                <w:szCs w:val="20"/>
              </w:rPr>
            </w:pPr>
            <w:r w:rsidRPr="00627017">
              <w:rPr>
                <w:rFonts w:ascii="Arial" w:hAnsi="Arial" w:cs="Arial"/>
                <w:bCs/>
                <w:color w:val="FFFFFF" w:themeColor="background1"/>
                <w:sz w:val="20"/>
                <w:szCs w:val="20"/>
              </w:rPr>
              <w:t>County</w:t>
            </w:r>
          </w:p>
        </w:tc>
        <w:tc>
          <w:tcPr>
            <w:tcW w:w="846"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333C71D3" w14:textId="77777777" w:rsidR="00526EFF" w:rsidRPr="00627017" w:rsidRDefault="00526EFF" w:rsidP="00D9687A">
            <w:pPr>
              <w:spacing w:line="252" w:lineRule="auto"/>
              <w:ind w:left="44" w:right="62"/>
              <w:jc w:val="center"/>
              <w:rPr>
                <w:rFonts w:ascii="Arial" w:hAnsi="Arial" w:cs="Arial"/>
                <w:color w:val="FFFFFF" w:themeColor="background1"/>
                <w:sz w:val="20"/>
                <w:szCs w:val="20"/>
              </w:rPr>
            </w:pPr>
            <w:r>
              <w:rPr>
                <w:rFonts w:ascii="Arial" w:hAnsi="Arial" w:cs="Arial"/>
                <w:color w:val="FFFFFF" w:themeColor="background1"/>
                <w:sz w:val="20"/>
                <w:szCs w:val="20"/>
              </w:rPr>
              <w:t>2025</w:t>
            </w:r>
          </w:p>
        </w:tc>
        <w:tc>
          <w:tcPr>
            <w:tcW w:w="689" w:type="dxa"/>
            <w:tcBorders>
              <w:top w:val="nil"/>
              <w:left w:val="single" w:sz="12" w:space="0" w:color="FFFFFF"/>
              <w:bottom w:val="nil"/>
              <w:right w:val="single" w:sz="12" w:space="0" w:color="FFFFFF"/>
            </w:tcBorders>
            <w:shd w:val="clear" w:color="auto" w:fill="1F4E79"/>
            <w:vAlign w:val="center"/>
          </w:tcPr>
          <w:p w14:paraId="30E783B2" w14:textId="77777777" w:rsidR="00526EFF" w:rsidRPr="00627017" w:rsidRDefault="00526EFF" w:rsidP="00D9687A">
            <w:pPr>
              <w:spacing w:line="252" w:lineRule="auto"/>
              <w:jc w:val="center"/>
              <w:rPr>
                <w:rFonts w:ascii="Arial" w:hAnsi="Arial" w:cs="Arial"/>
                <w:color w:val="FFFFFF" w:themeColor="background1"/>
                <w:sz w:val="20"/>
                <w:szCs w:val="20"/>
              </w:rPr>
            </w:pPr>
            <w:r>
              <w:rPr>
                <w:rFonts w:ascii="Arial" w:hAnsi="Arial" w:cs="Arial"/>
                <w:color w:val="FFFFFF" w:themeColor="background1"/>
                <w:sz w:val="20"/>
                <w:szCs w:val="20"/>
              </w:rPr>
              <w:t>2026</w:t>
            </w:r>
          </w:p>
        </w:tc>
        <w:tc>
          <w:tcPr>
            <w:tcW w:w="943" w:type="dxa"/>
            <w:tcBorders>
              <w:top w:val="nil"/>
              <w:left w:val="single" w:sz="12" w:space="0" w:color="FFFFFF"/>
              <w:bottom w:val="nil"/>
              <w:right w:val="nil"/>
            </w:tcBorders>
            <w:shd w:val="clear" w:color="auto" w:fill="1F4E79"/>
            <w:vAlign w:val="center"/>
          </w:tcPr>
          <w:p w14:paraId="3CB4078D" w14:textId="77777777" w:rsidR="00526EFF" w:rsidRPr="00576BA8" w:rsidRDefault="00526EFF" w:rsidP="00D9687A">
            <w:pPr>
              <w:spacing w:line="252" w:lineRule="auto"/>
              <w:ind w:right="15"/>
              <w:jc w:val="center"/>
              <w:rPr>
                <w:rFonts w:ascii="Arial Narrow" w:hAnsi="Arial Narrow" w:cs="Arial"/>
                <w:color w:val="FFFFFF" w:themeColor="background1"/>
                <w:sz w:val="20"/>
                <w:szCs w:val="20"/>
              </w:rPr>
            </w:pPr>
            <w:r w:rsidRPr="00576BA8">
              <w:rPr>
                <w:rFonts w:ascii="Arial Narrow" w:hAnsi="Arial Narrow" w:cs="Arial"/>
                <w:color w:val="FFFFFF" w:themeColor="background1"/>
                <w:sz w:val="20"/>
                <w:szCs w:val="20"/>
              </w:rPr>
              <w:t>% Ch</w:t>
            </w:r>
            <w:r>
              <w:rPr>
                <w:rFonts w:ascii="Arial Narrow" w:hAnsi="Arial Narrow" w:cs="Arial"/>
                <w:color w:val="FFFFFF" w:themeColor="background1"/>
                <w:sz w:val="20"/>
                <w:szCs w:val="20"/>
              </w:rPr>
              <w:t>a</w:t>
            </w:r>
            <w:r w:rsidRPr="00576BA8">
              <w:rPr>
                <w:rFonts w:ascii="Arial Narrow" w:hAnsi="Arial Narrow" w:cs="Arial"/>
                <w:color w:val="FFFFFF" w:themeColor="background1"/>
                <w:sz w:val="20"/>
                <w:szCs w:val="20"/>
              </w:rPr>
              <w:t>nge</w:t>
            </w:r>
          </w:p>
        </w:tc>
      </w:tr>
      <w:tr w:rsidR="001450E3" w:rsidRPr="00627017" w14:paraId="32A7CC97" w14:textId="77777777" w:rsidTr="009D52D8">
        <w:trPr>
          <w:trHeight w:val="288"/>
        </w:trPr>
        <w:tc>
          <w:tcPr>
            <w:tcW w:w="1382" w:type="dxa"/>
            <w:tcBorders>
              <w:top w:val="single" w:sz="8" w:space="0" w:color="FFFFFF" w:themeColor="background1"/>
              <w:left w:val="nil"/>
              <w:bottom w:val="nil"/>
              <w:right w:val="nil"/>
            </w:tcBorders>
            <w:tcMar>
              <w:top w:w="0" w:type="dxa"/>
              <w:left w:w="108" w:type="dxa"/>
              <w:bottom w:w="0" w:type="dxa"/>
              <w:right w:w="108" w:type="dxa"/>
            </w:tcMar>
            <w:vAlign w:val="center"/>
          </w:tcPr>
          <w:p w14:paraId="4AAFC232" w14:textId="77777777" w:rsidR="001450E3" w:rsidRPr="0079128A" w:rsidRDefault="001450E3" w:rsidP="001450E3">
            <w:pPr>
              <w:spacing w:line="252" w:lineRule="auto"/>
              <w:ind w:left="62" w:right="100"/>
              <w:rPr>
                <w:rFonts w:ascii="Arial" w:hAnsi="Arial" w:cs="Arial"/>
                <w:sz w:val="19"/>
                <w:szCs w:val="19"/>
              </w:rPr>
            </w:pPr>
            <w:r w:rsidRPr="0079128A">
              <w:rPr>
                <w:rFonts w:ascii="Arial" w:hAnsi="Arial" w:cs="Arial"/>
                <w:sz w:val="19"/>
                <w:szCs w:val="19"/>
              </w:rPr>
              <w:t>Milwaukee</w:t>
            </w:r>
          </w:p>
        </w:tc>
        <w:tc>
          <w:tcPr>
            <w:tcW w:w="846" w:type="dxa"/>
            <w:tcBorders>
              <w:top w:val="single" w:sz="8" w:space="0" w:color="FFFFFF" w:themeColor="background1"/>
              <w:left w:val="nil"/>
              <w:bottom w:val="nil"/>
              <w:right w:val="nil"/>
            </w:tcBorders>
            <w:tcMar>
              <w:top w:w="0" w:type="dxa"/>
              <w:left w:w="108" w:type="dxa"/>
              <w:bottom w:w="0" w:type="dxa"/>
              <w:right w:w="108" w:type="dxa"/>
            </w:tcMar>
          </w:tcPr>
          <w:p w14:paraId="53B9CBB5" w14:textId="2D0BEE14" w:rsidR="001450E3" w:rsidRPr="00E85892" w:rsidRDefault="001450E3" w:rsidP="001450E3">
            <w:pPr>
              <w:spacing w:line="252" w:lineRule="auto"/>
              <w:ind w:left="44" w:right="62"/>
              <w:jc w:val="right"/>
              <w:rPr>
                <w:rFonts w:ascii="Arial" w:hAnsi="Arial" w:cs="Arial"/>
                <w:sz w:val="19"/>
                <w:szCs w:val="19"/>
              </w:rPr>
            </w:pPr>
            <w:r w:rsidRPr="00E85892">
              <w:rPr>
                <w:rFonts w:ascii="Arial" w:hAnsi="Arial" w:cs="Arial"/>
                <w:sz w:val="19"/>
                <w:szCs w:val="19"/>
              </w:rPr>
              <w:t>965</w:t>
            </w:r>
          </w:p>
        </w:tc>
        <w:tc>
          <w:tcPr>
            <w:tcW w:w="689" w:type="dxa"/>
            <w:tcBorders>
              <w:top w:val="single" w:sz="8" w:space="0" w:color="FFFFFF" w:themeColor="background1"/>
              <w:left w:val="nil"/>
              <w:bottom w:val="nil"/>
              <w:right w:val="nil"/>
            </w:tcBorders>
          </w:tcPr>
          <w:p w14:paraId="19C8CCE7" w14:textId="70E65103" w:rsidR="001450E3" w:rsidRPr="00E85892" w:rsidRDefault="001450E3" w:rsidP="001450E3">
            <w:pPr>
              <w:spacing w:line="252" w:lineRule="auto"/>
              <w:ind w:right="110"/>
              <w:jc w:val="right"/>
              <w:rPr>
                <w:rFonts w:ascii="Arial" w:hAnsi="Arial" w:cs="Arial"/>
                <w:sz w:val="19"/>
                <w:szCs w:val="19"/>
              </w:rPr>
            </w:pPr>
            <w:r w:rsidRPr="00E85892">
              <w:rPr>
                <w:rFonts w:ascii="Arial" w:hAnsi="Arial" w:cs="Arial"/>
                <w:sz w:val="19"/>
                <w:szCs w:val="19"/>
              </w:rPr>
              <w:t>1</w:t>
            </w:r>
            <w:r w:rsidR="009538E1">
              <w:rPr>
                <w:rFonts w:ascii="Arial" w:hAnsi="Arial" w:cs="Arial"/>
                <w:sz w:val="19"/>
                <w:szCs w:val="19"/>
              </w:rPr>
              <w:t>,</w:t>
            </w:r>
            <w:r w:rsidRPr="00E85892">
              <w:rPr>
                <w:rFonts w:ascii="Arial" w:hAnsi="Arial" w:cs="Arial"/>
                <w:sz w:val="19"/>
                <w:szCs w:val="19"/>
              </w:rPr>
              <w:t>006</w:t>
            </w:r>
          </w:p>
        </w:tc>
        <w:tc>
          <w:tcPr>
            <w:tcW w:w="943" w:type="dxa"/>
            <w:tcBorders>
              <w:top w:val="single" w:sz="8" w:space="0" w:color="FFFFFF" w:themeColor="background1"/>
              <w:left w:val="nil"/>
              <w:bottom w:val="nil"/>
              <w:right w:val="nil"/>
            </w:tcBorders>
          </w:tcPr>
          <w:p w14:paraId="47696DD8" w14:textId="1963B5B6" w:rsidR="001450E3" w:rsidRPr="00E85892" w:rsidRDefault="001450E3" w:rsidP="001450E3">
            <w:pPr>
              <w:spacing w:line="252" w:lineRule="auto"/>
              <w:ind w:right="195"/>
              <w:jc w:val="right"/>
              <w:rPr>
                <w:rFonts w:ascii="Arial" w:hAnsi="Arial" w:cs="Arial"/>
                <w:sz w:val="19"/>
                <w:szCs w:val="19"/>
              </w:rPr>
            </w:pPr>
            <w:r w:rsidRPr="00E85892">
              <w:rPr>
                <w:rFonts w:ascii="Arial" w:hAnsi="Arial" w:cs="Arial"/>
                <w:sz w:val="19"/>
                <w:szCs w:val="19"/>
              </w:rPr>
              <w:t>4.2%</w:t>
            </w:r>
          </w:p>
        </w:tc>
      </w:tr>
      <w:tr w:rsidR="001450E3" w:rsidRPr="00627017" w14:paraId="01F6480A" w14:textId="77777777" w:rsidTr="009D52D8">
        <w:trPr>
          <w:trHeight w:val="288"/>
        </w:trPr>
        <w:tc>
          <w:tcPr>
            <w:tcW w:w="138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6A607D84" w14:textId="77777777" w:rsidR="001450E3" w:rsidRPr="0079128A" w:rsidRDefault="001450E3" w:rsidP="001450E3">
            <w:pPr>
              <w:spacing w:line="252" w:lineRule="auto"/>
              <w:ind w:left="62" w:right="100"/>
              <w:rPr>
                <w:rFonts w:ascii="Arial" w:hAnsi="Arial" w:cs="Arial"/>
                <w:sz w:val="19"/>
                <w:szCs w:val="19"/>
              </w:rPr>
            </w:pPr>
            <w:r w:rsidRPr="0079128A">
              <w:rPr>
                <w:rFonts w:ascii="Arial" w:hAnsi="Arial" w:cs="Arial"/>
                <w:color w:val="000000"/>
                <w:sz w:val="19"/>
                <w:szCs w:val="19"/>
              </w:rPr>
              <w:t>Waukesha</w:t>
            </w:r>
          </w:p>
        </w:tc>
        <w:tc>
          <w:tcPr>
            <w:tcW w:w="846" w:type="dxa"/>
            <w:tcBorders>
              <w:top w:val="nil"/>
              <w:left w:val="nil"/>
              <w:bottom w:val="nil"/>
              <w:right w:val="nil"/>
            </w:tcBorders>
            <w:shd w:val="clear" w:color="auto" w:fill="DEEAF6" w:themeFill="accent1" w:themeFillTint="33"/>
            <w:tcMar>
              <w:top w:w="0" w:type="dxa"/>
              <w:left w:w="108" w:type="dxa"/>
              <w:bottom w:w="0" w:type="dxa"/>
              <w:right w:w="108" w:type="dxa"/>
            </w:tcMar>
          </w:tcPr>
          <w:p w14:paraId="12BC27CB" w14:textId="7F32C342" w:rsidR="001450E3" w:rsidRPr="00E85892" w:rsidRDefault="001450E3" w:rsidP="001450E3">
            <w:pPr>
              <w:spacing w:line="252" w:lineRule="auto"/>
              <w:ind w:left="44" w:right="62"/>
              <w:jc w:val="right"/>
              <w:rPr>
                <w:rFonts w:ascii="Arial" w:hAnsi="Arial" w:cs="Arial"/>
                <w:sz w:val="19"/>
                <w:szCs w:val="19"/>
              </w:rPr>
            </w:pPr>
            <w:r w:rsidRPr="00E85892">
              <w:rPr>
                <w:rFonts w:ascii="Arial" w:hAnsi="Arial" w:cs="Arial"/>
                <w:sz w:val="19"/>
                <w:szCs w:val="19"/>
              </w:rPr>
              <w:t>474</w:t>
            </w:r>
          </w:p>
        </w:tc>
        <w:tc>
          <w:tcPr>
            <w:tcW w:w="689" w:type="dxa"/>
            <w:tcBorders>
              <w:top w:val="nil"/>
              <w:left w:val="nil"/>
              <w:bottom w:val="nil"/>
              <w:right w:val="nil"/>
            </w:tcBorders>
            <w:shd w:val="clear" w:color="auto" w:fill="DEEAF6" w:themeFill="accent1" w:themeFillTint="33"/>
          </w:tcPr>
          <w:p w14:paraId="574F4D5E" w14:textId="2C0C1C89" w:rsidR="001450E3" w:rsidRPr="00E85892" w:rsidRDefault="001450E3" w:rsidP="001450E3">
            <w:pPr>
              <w:spacing w:line="252" w:lineRule="auto"/>
              <w:ind w:right="110"/>
              <w:jc w:val="right"/>
              <w:rPr>
                <w:rFonts w:ascii="Arial" w:hAnsi="Arial" w:cs="Arial"/>
                <w:sz w:val="19"/>
                <w:szCs w:val="19"/>
              </w:rPr>
            </w:pPr>
            <w:r w:rsidRPr="00E85892">
              <w:rPr>
                <w:rFonts w:ascii="Arial" w:hAnsi="Arial" w:cs="Arial"/>
                <w:sz w:val="19"/>
                <w:szCs w:val="19"/>
              </w:rPr>
              <w:t>513</w:t>
            </w:r>
          </w:p>
        </w:tc>
        <w:tc>
          <w:tcPr>
            <w:tcW w:w="943" w:type="dxa"/>
            <w:tcBorders>
              <w:top w:val="nil"/>
              <w:left w:val="nil"/>
              <w:bottom w:val="nil"/>
              <w:right w:val="nil"/>
            </w:tcBorders>
            <w:shd w:val="clear" w:color="auto" w:fill="DEEAF6" w:themeFill="accent1" w:themeFillTint="33"/>
          </w:tcPr>
          <w:p w14:paraId="1857F8F3" w14:textId="5057BF34" w:rsidR="001450E3" w:rsidRPr="00E85892" w:rsidRDefault="001450E3" w:rsidP="001450E3">
            <w:pPr>
              <w:spacing w:line="252" w:lineRule="auto"/>
              <w:ind w:right="195"/>
              <w:jc w:val="right"/>
              <w:rPr>
                <w:rFonts w:ascii="Arial" w:hAnsi="Arial" w:cs="Arial"/>
                <w:sz w:val="19"/>
                <w:szCs w:val="19"/>
              </w:rPr>
            </w:pPr>
            <w:r w:rsidRPr="00E85892">
              <w:rPr>
                <w:rFonts w:ascii="Arial" w:hAnsi="Arial" w:cs="Arial"/>
                <w:sz w:val="19"/>
                <w:szCs w:val="19"/>
              </w:rPr>
              <w:t>8.2%</w:t>
            </w:r>
          </w:p>
        </w:tc>
      </w:tr>
      <w:tr w:rsidR="001450E3" w:rsidRPr="00627017" w14:paraId="47DC3649" w14:textId="77777777" w:rsidTr="009D52D8">
        <w:trPr>
          <w:trHeight w:val="288"/>
        </w:trPr>
        <w:tc>
          <w:tcPr>
            <w:tcW w:w="1382" w:type="dxa"/>
            <w:tcBorders>
              <w:top w:val="nil"/>
              <w:left w:val="nil"/>
              <w:bottom w:val="nil"/>
              <w:right w:val="nil"/>
            </w:tcBorders>
            <w:tcMar>
              <w:top w:w="0" w:type="dxa"/>
              <w:left w:w="108" w:type="dxa"/>
              <w:bottom w:w="0" w:type="dxa"/>
              <w:right w:w="108" w:type="dxa"/>
            </w:tcMar>
            <w:vAlign w:val="center"/>
          </w:tcPr>
          <w:p w14:paraId="60365F3A" w14:textId="77777777" w:rsidR="001450E3" w:rsidRPr="0079128A" w:rsidRDefault="001450E3" w:rsidP="001450E3">
            <w:pPr>
              <w:spacing w:line="252" w:lineRule="auto"/>
              <w:ind w:left="62" w:right="100"/>
              <w:rPr>
                <w:rFonts w:ascii="Arial" w:hAnsi="Arial" w:cs="Arial"/>
                <w:sz w:val="19"/>
                <w:szCs w:val="19"/>
              </w:rPr>
            </w:pPr>
            <w:r w:rsidRPr="0079128A">
              <w:rPr>
                <w:rFonts w:ascii="Arial" w:hAnsi="Arial" w:cs="Arial"/>
                <w:sz w:val="19"/>
                <w:szCs w:val="19"/>
              </w:rPr>
              <w:t>Ozaukee</w:t>
            </w:r>
          </w:p>
        </w:tc>
        <w:tc>
          <w:tcPr>
            <w:tcW w:w="846" w:type="dxa"/>
            <w:tcBorders>
              <w:top w:val="nil"/>
              <w:left w:val="nil"/>
              <w:bottom w:val="nil"/>
              <w:right w:val="nil"/>
            </w:tcBorders>
            <w:tcMar>
              <w:top w:w="0" w:type="dxa"/>
              <w:left w:w="108" w:type="dxa"/>
              <w:bottom w:w="0" w:type="dxa"/>
              <w:right w:w="108" w:type="dxa"/>
            </w:tcMar>
          </w:tcPr>
          <w:p w14:paraId="20F02BBC" w14:textId="60473E56" w:rsidR="001450E3" w:rsidRPr="00E85892" w:rsidRDefault="001450E3" w:rsidP="001450E3">
            <w:pPr>
              <w:spacing w:line="252" w:lineRule="auto"/>
              <w:ind w:left="44" w:right="62"/>
              <w:jc w:val="right"/>
              <w:rPr>
                <w:rFonts w:ascii="Arial" w:hAnsi="Arial" w:cs="Arial"/>
                <w:sz w:val="19"/>
                <w:szCs w:val="19"/>
              </w:rPr>
            </w:pPr>
            <w:r w:rsidRPr="00E85892">
              <w:rPr>
                <w:rFonts w:ascii="Arial" w:hAnsi="Arial" w:cs="Arial"/>
                <w:sz w:val="19"/>
                <w:szCs w:val="19"/>
              </w:rPr>
              <w:t>110</w:t>
            </w:r>
          </w:p>
        </w:tc>
        <w:tc>
          <w:tcPr>
            <w:tcW w:w="689" w:type="dxa"/>
            <w:tcBorders>
              <w:top w:val="nil"/>
              <w:left w:val="nil"/>
              <w:bottom w:val="nil"/>
              <w:right w:val="nil"/>
            </w:tcBorders>
          </w:tcPr>
          <w:p w14:paraId="38CA98D9" w14:textId="3AB9D0F2" w:rsidR="001450E3" w:rsidRPr="00E85892" w:rsidRDefault="001450E3" w:rsidP="001450E3">
            <w:pPr>
              <w:spacing w:line="252" w:lineRule="auto"/>
              <w:ind w:right="110"/>
              <w:jc w:val="right"/>
              <w:rPr>
                <w:rFonts w:ascii="Arial" w:hAnsi="Arial" w:cs="Arial"/>
                <w:sz w:val="19"/>
                <w:szCs w:val="19"/>
              </w:rPr>
            </w:pPr>
            <w:r w:rsidRPr="00E85892">
              <w:rPr>
                <w:rFonts w:ascii="Arial" w:hAnsi="Arial" w:cs="Arial"/>
                <w:sz w:val="19"/>
                <w:szCs w:val="19"/>
              </w:rPr>
              <w:t>115</w:t>
            </w:r>
          </w:p>
        </w:tc>
        <w:tc>
          <w:tcPr>
            <w:tcW w:w="943" w:type="dxa"/>
            <w:tcBorders>
              <w:top w:val="nil"/>
              <w:left w:val="nil"/>
              <w:bottom w:val="nil"/>
              <w:right w:val="nil"/>
            </w:tcBorders>
          </w:tcPr>
          <w:p w14:paraId="4F569698" w14:textId="3E7C110A" w:rsidR="001450E3" w:rsidRPr="00E85892" w:rsidRDefault="001450E3" w:rsidP="001450E3">
            <w:pPr>
              <w:spacing w:line="252" w:lineRule="auto"/>
              <w:ind w:right="195"/>
              <w:jc w:val="right"/>
              <w:rPr>
                <w:rFonts w:ascii="Arial" w:hAnsi="Arial" w:cs="Arial"/>
                <w:sz w:val="19"/>
                <w:szCs w:val="19"/>
              </w:rPr>
            </w:pPr>
            <w:r w:rsidRPr="00E85892">
              <w:rPr>
                <w:rFonts w:ascii="Arial" w:hAnsi="Arial" w:cs="Arial"/>
                <w:sz w:val="19"/>
                <w:szCs w:val="19"/>
              </w:rPr>
              <w:t>4.5%</w:t>
            </w:r>
          </w:p>
        </w:tc>
      </w:tr>
      <w:tr w:rsidR="001450E3" w:rsidRPr="00627017" w14:paraId="21FABEE4" w14:textId="77777777" w:rsidTr="009D52D8">
        <w:trPr>
          <w:trHeight w:val="288"/>
        </w:trPr>
        <w:tc>
          <w:tcPr>
            <w:tcW w:w="138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661B6C07" w14:textId="77777777" w:rsidR="001450E3" w:rsidRPr="0079128A" w:rsidRDefault="001450E3" w:rsidP="001450E3">
            <w:pPr>
              <w:spacing w:line="252" w:lineRule="auto"/>
              <w:ind w:left="62" w:right="100"/>
              <w:rPr>
                <w:rFonts w:ascii="Arial" w:hAnsi="Arial" w:cs="Arial"/>
                <w:sz w:val="19"/>
                <w:szCs w:val="19"/>
              </w:rPr>
            </w:pPr>
            <w:r w:rsidRPr="0079128A">
              <w:rPr>
                <w:rFonts w:ascii="Arial" w:hAnsi="Arial" w:cs="Arial"/>
                <w:color w:val="000000"/>
                <w:sz w:val="19"/>
                <w:szCs w:val="19"/>
              </w:rPr>
              <w:t>Washington</w:t>
            </w:r>
          </w:p>
        </w:tc>
        <w:tc>
          <w:tcPr>
            <w:tcW w:w="846"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450C3CC2" w14:textId="6653CF35" w:rsidR="001450E3" w:rsidRPr="00E85892" w:rsidRDefault="001450E3" w:rsidP="001450E3">
            <w:pPr>
              <w:spacing w:line="252" w:lineRule="auto"/>
              <w:ind w:left="44" w:right="62"/>
              <w:jc w:val="right"/>
              <w:rPr>
                <w:rFonts w:ascii="Arial" w:hAnsi="Arial" w:cs="Arial"/>
                <w:sz w:val="19"/>
                <w:szCs w:val="19"/>
              </w:rPr>
            </w:pPr>
            <w:r w:rsidRPr="00E85892">
              <w:rPr>
                <w:rFonts w:ascii="Arial" w:hAnsi="Arial" w:cs="Arial"/>
                <w:sz w:val="19"/>
                <w:szCs w:val="19"/>
              </w:rPr>
              <w:t>162</w:t>
            </w:r>
          </w:p>
        </w:tc>
        <w:tc>
          <w:tcPr>
            <w:tcW w:w="689" w:type="dxa"/>
            <w:tcBorders>
              <w:top w:val="nil"/>
              <w:left w:val="nil"/>
              <w:bottom w:val="single" w:sz="4" w:space="0" w:color="auto"/>
              <w:right w:val="nil"/>
            </w:tcBorders>
            <w:shd w:val="clear" w:color="auto" w:fill="DEEAF6" w:themeFill="accent1" w:themeFillTint="33"/>
          </w:tcPr>
          <w:p w14:paraId="0183ADC1" w14:textId="31EA7EAD" w:rsidR="001450E3" w:rsidRPr="00E85892" w:rsidRDefault="001450E3" w:rsidP="001450E3">
            <w:pPr>
              <w:spacing w:line="252" w:lineRule="auto"/>
              <w:ind w:right="110"/>
              <w:jc w:val="right"/>
              <w:rPr>
                <w:rFonts w:ascii="Arial" w:hAnsi="Arial" w:cs="Arial"/>
                <w:sz w:val="19"/>
                <w:szCs w:val="19"/>
              </w:rPr>
            </w:pPr>
            <w:r w:rsidRPr="00E85892">
              <w:rPr>
                <w:rFonts w:ascii="Arial" w:hAnsi="Arial" w:cs="Arial"/>
                <w:sz w:val="19"/>
                <w:szCs w:val="19"/>
              </w:rPr>
              <w:t>185</w:t>
            </w:r>
          </w:p>
        </w:tc>
        <w:tc>
          <w:tcPr>
            <w:tcW w:w="943" w:type="dxa"/>
            <w:tcBorders>
              <w:top w:val="nil"/>
              <w:left w:val="nil"/>
              <w:bottom w:val="nil"/>
              <w:right w:val="nil"/>
            </w:tcBorders>
            <w:shd w:val="clear" w:color="auto" w:fill="DEEAF6" w:themeFill="accent1" w:themeFillTint="33"/>
          </w:tcPr>
          <w:p w14:paraId="33AD7F55" w14:textId="0793DDDA" w:rsidR="001450E3" w:rsidRPr="00E85892" w:rsidRDefault="001450E3" w:rsidP="001450E3">
            <w:pPr>
              <w:spacing w:line="252" w:lineRule="auto"/>
              <w:ind w:right="195"/>
              <w:jc w:val="right"/>
              <w:rPr>
                <w:rFonts w:ascii="Arial" w:hAnsi="Arial" w:cs="Arial"/>
                <w:sz w:val="19"/>
                <w:szCs w:val="19"/>
              </w:rPr>
            </w:pPr>
            <w:r w:rsidRPr="00E85892">
              <w:rPr>
                <w:rFonts w:ascii="Arial" w:hAnsi="Arial" w:cs="Arial"/>
                <w:sz w:val="19"/>
                <w:szCs w:val="19"/>
              </w:rPr>
              <w:t>14.2%</w:t>
            </w:r>
          </w:p>
        </w:tc>
      </w:tr>
      <w:tr w:rsidR="001450E3" w:rsidRPr="00627017" w14:paraId="62EE4709" w14:textId="77777777" w:rsidTr="009D52D8">
        <w:trPr>
          <w:trHeight w:val="288"/>
        </w:trPr>
        <w:tc>
          <w:tcPr>
            <w:tcW w:w="1382" w:type="dxa"/>
            <w:tcBorders>
              <w:top w:val="single" w:sz="4" w:space="0" w:color="auto"/>
              <w:left w:val="nil"/>
              <w:bottom w:val="nil"/>
              <w:right w:val="nil"/>
            </w:tcBorders>
            <w:tcMar>
              <w:top w:w="0" w:type="dxa"/>
              <w:left w:w="108" w:type="dxa"/>
              <w:bottom w:w="0" w:type="dxa"/>
              <w:right w:w="108" w:type="dxa"/>
            </w:tcMar>
            <w:vAlign w:val="center"/>
          </w:tcPr>
          <w:p w14:paraId="2B79FC18" w14:textId="77777777" w:rsidR="001450E3" w:rsidRPr="0079128A" w:rsidRDefault="001450E3" w:rsidP="001450E3">
            <w:pPr>
              <w:spacing w:line="252" w:lineRule="auto"/>
              <w:ind w:left="62" w:right="100"/>
              <w:rPr>
                <w:rFonts w:ascii="Arial" w:hAnsi="Arial" w:cs="Arial"/>
                <w:sz w:val="19"/>
                <w:szCs w:val="19"/>
              </w:rPr>
            </w:pPr>
            <w:r w:rsidRPr="0079128A">
              <w:rPr>
                <w:rFonts w:ascii="Arial" w:hAnsi="Arial" w:cs="Arial"/>
                <w:sz w:val="19"/>
                <w:szCs w:val="19"/>
              </w:rPr>
              <w:t>Metro Area</w:t>
            </w:r>
          </w:p>
        </w:tc>
        <w:tc>
          <w:tcPr>
            <w:tcW w:w="846" w:type="dxa"/>
            <w:tcBorders>
              <w:top w:val="single" w:sz="4" w:space="0" w:color="auto"/>
              <w:left w:val="nil"/>
              <w:bottom w:val="nil"/>
              <w:right w:val="nil"/>
            </w:tcBorders>
            <w:tcMar>
              <w:top w:w="0" w:type="dxa"/>
              <w:left w:w="108" w:type="dxa"/>
              <w:bottom w:w="0" w:type="dxa"/>
              <w:right w:w="108" w:type="dxa"/>
            </w:tcMar>
          </w:tcPr>
          <w:p w14:paraId="01C8FCF3" w14:textId="372A9F68" w:rsidR="001450E3" w:rsidRPr="00E85892" w:rsidRDefault="001450E3" w:rsidP="001450E3">
            <w:pPr>
              <w:spacing w:line="252" w:lineRule="auto"/>
              <w:ind w:left="44" w:right="62"/>
              <w:jc w:val="right"/>
              <w:rPr>
                <w:rFonts w:ascii="Arial" w:hAnsi="Arial" w:cs="Arial"/>
                <w:sz w:val="19"/>
                <w:szCs w:val="19"/>
              </w:rPr>
            </w:pPr>
            <w:r w:rsidRPr="00E85892">
              <w:rPr>
                <w:rFonts w:ascii="Arial" w:hAnsi="Arial" w:cs="Arial"/>
                <w:sz w:val="19"/>
                <w:szCs w:val="19"/>
              </w:rPr>
              <w:t>1,711</w:t>
            </w:r>
          </w:p>
        </w:tc>
        <w:tc>
          <w:tcPr>
            <w:tcW w:w="689" w:type="dxa"/>
            <w:tcBorders>
              <w:top w:val="single" w:sz="4" w:space="0" w:color="auto"/>
              <w:left w:val="nil"/>
              <w:bottom w:val="nil"/>
              <w:right w:val="nil"/>
            </w:tcBorders>
          </w:tcPr>
          <w:p w14:paraId="169CB868" w14:textId="1511F7D8" w:rsidR="001450E3" w:rsidRPr="00E85892" w:rsidRDefault="001450E3" w:rsidP="001450E3">
            <w:pPr>
              <w:spacing w:line="252" w:lineRule="auto"/>
              <w:ind w:right="110"/>
              <w:jc w:val="right"/>
              <w:rPr>
                <w:rFonts w:ascii="Arial" w:hAnsi="Arial" w:cs="Arial"/>
                <w:sz w:val="19"/>
                <w:szCs w:val="19"/>
              </w:rPr>
            </w:pPr>
            <w:r w:rsidRPr="00E85892">
              <w:rPr>
                <w:rFonts w:ascii="Arial" w:hAnsi="Arial" w:cs="Arial"/>
                <w:sz w:val="19"/>
                <w:szCs w:val="19"/>
              </w:rPr>
              <w:t>1,819</w:t>
            </w:r>
          </w:p>
        </w:tc>
        <w:tc>
          <w:tcPr>
            <w:tcW w:w="943" w:type="dxa"/>
            <w:tcBorders>
              <w:top w:val="nil"/>
              <w:left w:val="nil"/>
              <w:bottom w:val="nil"/>
              <w:right w:val="nil"/>
            </w:tcBorders>
          </w:tcPr>
          <w:p w14:paraId="155B1982" w14:textId="4263F366" w:rsidR="001450E3" w:rsidRPr="00E85892" w:rsidRDefault="001450E3" w:rsidP="001450E3">
            <w:pPr>
              <w:spacing w:line="252" w:lineRule="auto"/>
              <w:ind w:right="195"/>
              <w:jc w:val="right"/>
              <w:rPr>
                <w:rFonts w:ascii="Arial" w:hAnsi="Arial" w:cs="Arial"/>
                <w:sz w:val="19"/>
                <w:szCs w:val="19"/>
              </w:rPr>
            </w:pPr>
            <w:r w:rsidRPr="00E85892">
              <w:rPr>
                <w:rFonts w:ascii="Arial" w:hAnsi="Arial" w:cs="Arial"/>
                <w:sz w:val="19"/>
                <w:szCs w:val="19"/>
              </w:rPr>
              <w:t>6.3%</w:t>
            </w:r>
          </w:p>
        </w:tc>
      </w:tr>
      <w:tr w:rsidR="00526EFF" w:rsidRPr="00627017" w14:paraId="1D6D0160" w14:textId="77777777" w:rsidTr="00D9687A">
        <w:trPr>
          <w:trHeight w:val="86"/>
        </w:trPr>
        <w:tc>
          <w:tcPr>
            <w:tcW w:w="386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6A280C4E" w14:textId="77777777" w:rsidR="00526EFF" w:rsidRPr="0077044F" w:rsidRDefault="00526EFF" w:rsidP="00D9687A">
            <w:pPr>
              <w:spacing w:line="252" w:lineRule="auto"/>
              <w:ind w:right="195"/>
              <w:jc w:val="right"/>
              <w:rPr>
                <w:rFonts w:ascii="Arial" w:hAnsi="Arial" w:cs="Arial"/>
                <w:sz w:val="10"/>
                <w:szCs w:val="10"/>
              </w:rPr>
            </w:pPr>
          </w:p>
        </w:tc>
      </w:tr>
      <w:tr w:rsidR="00E85892" w:rsidRPr="00627017" w14:paraId="1CCCF7DB" w14:textId="77777777" w:rsidTr="007D3A54">
        <w:trPr>
          <w:trHeight w:val="288"/>
        </w:trPr>
        <w:tc>
          <w:tcPr>
            <w:tcW w:w="1382" w:type="dxa"/>
            <w:tcBorders>
              <w:top w:val="nil"/>
              <w:left w:val="nil"/>
              <w:bottom w:val="nil"/>
              <w:right w:val="nil"/>
            </w:tcBorders>
            <w:tcMar>
              <w:top w:w="0" w:type="dxa"/>
              <w:left w:w="108" w:type="dxa"/>
              <w:bottom w:w="0" w:type="dxa"/>
              <w:right w:w="108" w:type="dxa"/>
            </w:tcMar>
            <w:vAlign w:val="center"/>
          </w:tcPr>
          <w:p w14:paraId="79DA8F12"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Sheboygan</w:t>
            </w:r>
          </w:p>
        </w:tc>
        <w:tc>
          <w:tcPr>
            <w:tcW w:w="846" w:type="dxa"/>
            <w:tcBorders>
              <w:top w:val="nil"/>
              <w:left w:val="nil"/>
              <w:bottom w:val="nil"/>
              <w:right w:val="nil"/>
            </w:tcBorders>
            <w:tcMar>
              <w:top w:w="0" w:type="dxa"/>
              <w:left w:w="108" w:type="dxa"/>
              <w:bottom w:w="0" w:type="dxa"/>
              <w:right w:w="108" w:type="dxa"/>
            </w:tcMar>
          </w:tcPr>
          <w:p w14:paraId="50AFA584" w14:textId="7752CFBA"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83</w:t>
            </w:r>
          </w:p>
        </w:tc>
        <w:tc>
          <w:tcPr>
            <w:tcW w:w="689" w:type="dxa"/>
            <w:tcBorders>
              <w:top w:val="nil"/>
              <w:left w:val="nil"/>
              <w:bottom w:val="nil"/>
              <w:right w:val="nil"/>
            </w:tcBorders>
          </w:tcPr>
          <w:p w14:paraId="7D6D9C14" w14:textId="4AA22DF5"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96</w:t>
            </w:r>
          </w:p>
        </w:tc>
        <w:tc>
          <w:tcPr>
            <w:tcW w:w="943" w:type="dxa"/>
            <w:tcBorders>
              <w:top w:val="nil"/>
              <w:left w:val="nil"/>
              <w:bottom w:val="nil"/>
              <w:right w:val="nil"/>
            </w:tcBorders>
          </w:tcPr>
          <w:p w14:paraId="7109B761" w14:textId="3EEBF757"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15.7%</w:t>
            </w:r>
          </w:p>
        </w:tc>
      </w:tr>
      <w:tr w:rsidR="00E85892" w:rsidRPr="00627017" w14:paraId="2C4EB05C" w14:textId="77777777" w:rsidTr="007D3A54">
        <w:trPr>
          <w:trHeight w:val="288"/>
        </w:trPr>
        <w:tc>
          <w:tcPr>
            <w:tcW w:w="138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7E4D4A85"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Racine</w:t>
            </w:r>
          </w:p>
        </w:tc>
        <w:tc>
          <w:tcPr>
            <w:tcW w:w="846" w:type="dxa"/>
            <w:tcBorders>
              <w:top w:val="nil"/>
              <w:left w:val="nil"/>
              <w:bottom w:val="nil"/>
              <w:right w:val="nil"/>
            </w:tcBorders>
            <w:shd w:val="clear" w:color="auto" w:fill="DEEAF6" w:themeFill="accent1" w:themeFillTint="33"/>
            <w:tcMar>
              <w:top w:w="0" w:type="dxa"/>
              <w:left w:w="108" w:type="dxa"/>
              <w:bottom w:w="0" w:type="dxa"/>
              <w:right w:w="108" w:type="dxa"/>
            </w:tcMar>
          </w:tcPr>
          <w:p w14:paraId="7630D8D5" w14:textId="2FC63960"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239</w:t>
            </w:r>
          </w:p>
        </w:tc>
        <w:tc>
          <w:tcPr>
            <w:tcW w:w="689" w:type="dxa"/>
            <w:tcBorders>
              <w:top w:val="nil"/>
              <w:left w:val="nil"/>
              <w:bottom w:val="nil"/>
              <w:right w:val="nil"/>
            </w:tcBorders>
            <w:shd w:val="clear" w:color="auto" w:fill="DEEAF6" w:themeFill="accent1" w:themeFillTint="33"/>
          </w:tcPr>
          <w:p w14:paraId="4AFB61C8" w14:textId="5C0C806F"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206</w:t>
            </w:r>
          </w:p>
        </w:tc>
        <w:tc>
          <w:tcPr>
            <w:tcW w:w="943" w:type="dxa"/>
            <w:tcBorders>
              <w:top w:val="nil"/>
              <w:left w:val="nil"/>
              <w:bottom w:val="nil"/>
              <w:right w:val="nil"/>
            </w:tcBorders>
            <w:shd w:val="clear" w:color="auto" w:fill="DEEAF6" w:themeFill="accent1" w:themeFillTint="33"/>
          </w:tcPr>
          <w:p w14:paraId="28E31FFB" w14:textId="56EBD8A2"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-13.8%</w:t>
            </w:r>
          </w:p>
        </w:tc>
      </w:tr>
      <w:tr w:rsidR="00E85892" w:rsidRPr="00627017" w14:paraId="2D66DDA1" w14:textId="77777777" w:rsidTr="007D3A54">
        <w:trPr>
          <w:trHeight w:val="288"/>
        </w:trPr>
        <w:tc>
          <w:tcPr>
            <w:tcW w:w="1382" w:type="dxa"/>
            <w:tcBorders>
              <w:top w:val="nil"/>
              <w:left w:val="nil"/>
              <w:bottom w:val="nil"/>
              <w:right w:val="nil"/>
            </w:tcBorders>
            <w:tcMar>
              <w:top w:w="0" w:type="dxa"/>
              <w:left w:w="108" w:type="dxa"/>
              <w:bottom w:w="0" w:type="dxa"/>
              <w:right w:w="108" w:type="dxa"/>
            </w:tcMar>
            <w:vAlign w:val="center"/>
          </w:tcPr>
          <w:p w14:paraId="61D07A88"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color w:val="000000"/>
                <w:sz w:val="19"/>
                <w:szCs w:val="19"/>
              </w:rPr>
              <w:t>Kenosha</w:t>
            </w:r>
          </w:p>
        </w:tc>
        <w:tc>
          <w:tcPr>
            <w:tcW w:w="846" w:type="dxa"/>
            <w:tcBorders>
              <w:top w:val="nil"/>
              <w:left w:val="nil"/>
              <w:bottom w:val="nil"/>
              <w:right w:val="nil"/>
            </w:tcBorders>
            <w:tcMar>
              <w:top w:w="0" w:type="dxa"/>
              <w:left w:w="108" w:type="dxa"/>
              <w:bottom w:w="0" w:type="dxa"/>
              <w:right w:w="108" w:type="dxa"/>
            </w:tcMar>
          </w:tcPr>
          <w:p w14:paraId="15F9ADB1" w14:textId="02A371F9"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151</w:t>
            </w:r>
          </w:p>
        </w:tc>
        <w:tc>
          <w:tcPr>
            <w:tcW w:w="689" w:type="dxa"/>
            <w:tcBorders>
              <w:top w:val="nil"/>
              <w:left w:val="nil"/>
              <w:bottom w:val="nil"/>
              <w:right w:val="nil"/>
            </w:tcBorders>
          </w:tcPr>
          <w:p w14:paraId="26892390" w14:textId="74F02E19"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147</w:t>
            </w:r>
          </w:p>
        </w:tc>
        <w:tc>
          <w:tcPr>
            <w:tcW w:w="943" w:type="dxa"/>
            <w:tcBorders>
              <w:top w:val="nil"/>
              <w:left w:val="nil"/>
              <w:bottom w:val="nil"/>
              <w:right w:val="nil"/>
            </w:tcBorders>
          </w:tcPr>
          <w:p w14:paraId="762610FE" w14:textId="60B2679B"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-2.6%</w:t>
            </w:r>
          </w:p>
        </w:tc>
      </w:tr>
      <w:tr w:rsidR="00E85892" w:rsidRPr="00627017" w14:paraId="46D526BF" w14:textId="77777777" w:rsidTr="007D3A54">
        <w:trPr>
          <w:trHeight w:val="288"/>
        </w:trPr>
        <w:tc>
          <w:tcPr>
            <w:tcW w:w="138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5E513EFB"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Walworth</w:t>
            </w:r>
          </w:p>
        </w:tc>
        <w:tc>
          <w:tcPr>
            <w:tcW w:w="846"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6DEA06B0" w14:textId="526B0B1D"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148</w:t>
            </w:r>
          </w:p>
        </w:tc>
        <w:tc>
          <w:tcPr>
            <w:tcW w:w="689" w:type="dxa"/>
            <w:tcBorders>
              <w:top w:val="nil"/>
              <w:left w:val="nil"/>
              <w:bottom w:val="single" w:sz="4" w:space="0" w:color="auto"/>
              <w:right w:val="nil"/>
            </w:tcBorders>
            <w:shd w:val="clear" w:color="auto" w:fill="DEEAF6" w:themeFill="accent1" w:themeFillTint="33"/>
          </w:tcPr>
          <w:p w14:paraId="460F702B" w14:textId="73DC3469"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118</w:t>
            </w:r>
          </w:p>
        </w:tc>
        <w:tc>
          <w:tcPr>
            <w:tcW w:w="943" w:type="dxa"/>
            <w:tcBorders>
              <w:top w:val="nil"/>
              <w:left w:val="nil"/>
              <w:bottom w:val="nil"/>
              <w:right w:val="nil"/>
            </w:tcBorders>
            <w:shd w:val="clear" w:color="auto" w:fill="DEEAF6" w:themeFill="accent1" w:themeFillTint="33"/>
          </w:tcPr>
          <w:p w14:paraId="594F008E" w14:textId="0BDB6931"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-20.3%</w:t>
            </w:r>
          </w:p>
        </w:tc>
      </w:tr>
      <w:tr w:rsidR="00E85892" w:rsidRPr="00627017" w14:paraId="6EAD6124" w14:textId="77777777" w:rsidTr="007D3A54">
        <w:trPr>
          <w:trHeight w:val="288"/>
        </w:trPr>
        <w:tc>
          <w:tcPr>
            <w:tcW w:w="1382" w:type="dxa"/>
            <w:tcBorders>
              <w:top w:val="single" w:sz="4" w:space="0" w:color="auto"/>
              <w:left w:val="nil"/>
              <w:bottom w:val="nil"/>
              <w:right w:val="nil"/>
            </w:tcBorders>
            <w:tcMar>
              <w:top w:w="0" w:type="dxa"/>
              <w:left w:w="108" w:type="dxa"/>
              <w:bottom w:w="0" w:type="dxa"/>
              <w:right w:w="108" w:type="dxa"/>
            </w:tcMar>
            <w:vAlign w:val="center"/>
          </w:tcPr>
          <w:p w14:paraId="7A3C3B16"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SE WI Area</w:t>
            </w:r>
          </w:p>
        </w:tc>
        <w:tc>
          <w:tcPr>
            <w:tcW w:w="846" w:type="dxa"/>
            <w:tcBorders>
              <w:top w:val="single" w:sz="4" w:space="0" w:color="auto"/>
              <w:left w:val="nil"/>
              <w:bottom w:val="nil"/>
              <w:right w:val="nil"/>
            </w:tcBorders>
            <w:tcMar>
              <w:top w:w="0" w:type="dxa"/>
              <w:left w:w="108" w:type="dxa"/>
              <w:bottom w:w="0" w:type="dxa"/>
              <w:right w:w="108" w:type="dxa"/>
            </w:tcMar>
          </w:tcPr>
          <w:p w14:paraId="73B3A2B1" w14:textId="0BE61B53"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2,332</w:t>
            </w:r>
          </w:p>
        </w:tc>
        <w:tc>
          <w:tcPr>
            <w:tcW w:w="689" w:type="dxa"/>
            <w:tcBorders>
              <w:top w:val="single" w:sz="4" w:space="0" w:color="auto"/>
              <w:left w:val="nil"/>
              <w:bottom w:val="nil"/>
              <w:right w:val="nil"/>
            </w:tcBorders>
          </w:tcPr>
          <w:p w14:paraId="4D754920" w14:textId="0DE79298"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2,386</w:t>
            </w:r>
          </w:p>
        </w:tc>
        <w:tc>
          <w:tcPr>
            <w:tcW w:w="943" w:type="dxa"/>
            <w:tcBorders>
              <w:top w:val="nil"/>
              <w:left w:val="nil"/>
              <w:bottom w:val="nil"/>
              <w:right w:val="nil"/>
            </w:tcBorders>
          </w:tcPr>
          <w:p w14:paraId="27832EF6" w14:textId="0AFBEFC1"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2.3%</w:t>
            </w:r>
          </w:p>
        </w:tc>
      </w:tr>
      <w:tr w:rsidR="00526EFF" w:rsidRPr="00627017" w14:paraId="6EE1D42A" w14:textId="77777777" w:rsidTr="00E85892">
        <w:trPr>
          <w:trHeight w:val="432"/>
        </w:trPr>
        <w:tc>
          <w:tcPr>
            <w:tcW w:w="3860" w:type="dxa"/>
            <w:gridSpan w:val="4"/>
            <w:tcBorders>
              <w:top w:val="nil"/>
              <w:left w:val="nil"/>
              <w:bottom w:val="single" w:sz="4" w:space="0" w:color="auto"/>
              <w:right w:val="nil"/>
            </w:tcBorders>
            <w:tcMar>
              <w:top w:w="0" w:type="dxa"/>
              <w:left w:w="108" w:type="dxa"/>
              <w:bottom w:w="0" w:type="dxa"/>
              <w:right w:w="108" w:type="dxa"/>
            </w:tcMar>
            <w:vAlign w:val="center"/>
          </w:tcPr>
          <w:p w14:paraId="0C7490C0" w14:textId="1865610F" w:rsidR="00526EFF" w:rsidRDefault="007C6319" w:rsidP="00E85892">
            <w:pPr>
              <w:spacing w:line="252" w:lineRule="auto"/>
              <w:ind w:right="195"/>
              <w:rPr>
                <w:rFonts w:ascii="Arial" w:hAnsi="Arial" w:cs="Arial"/>
                <w:sz w:val="20"/>
                <w:szCs w:val="20"/>
              </w:rPr>
            </w:pPr>
            <w:r>
              <w:rPr>
                <w:rFonts w:ascii="Arial" w:hAnsi="Arial" w:cs="Arial"/>
                <w:b/>
                <w:bCs/>
                <w:sz w:val="22"/>
              </w:rPr>
              <w:t>May</w:t>
            </w:r>
            <w:r w:rsidR="00526EFF" w:rsidRPr="00D42F01">
              <w:rPr>
                <w:rFonts w:ascii="Arial" w:hAnsi="Arial" w:cs="Arial"/>
                <w:b/>
                <w:bCs/>
                <w:sz w:val="22"/>
              </w:rPr>
              <w:t xml:space="preserve"> Listings</w:t>
            </w:r>
            <w:r w:rsidR="00E85892">
              <w:rPr>
                <w:rFonts w:ascii="Arial" w:hAnsi="Arial" w:cs="Arial"/>
                <w:b/>
                <w:bCs/>
                <w:sz w:val="22"/>
              </w:rPr>
              <w:t xml:space="preserve"> </w:t>
            </w:r>
          </w:p>
        </w:tc>
      </w:tr>
      <w:tr w:rsidR="00526EFF" w:rsidRPr="00627017" w14:paraId="1DE8000B" w14:textId="77777777" w:rsidTr="00D9687A">
        <w:trPr>
          <w:trHeight w:val="288"/>
        </w:trPr>
        <w:tc>
          <w:tcPr>
            <w:tcW w:w="138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689534DC" w14:textId="77777777" w:rsidR="00526EFF" w:rsidRDefault="00526EFF" w:rsidP="00D9687A">
            <w:pPr>
              <w:spacing w:line="252" w:lineRule="auto"/>
              <w:ind w:left="62" w:right="100"/>
              <w:rPr>
                <w:rFonts w:ascii="Arial" w:hAnsi="Arial" w:cs="Arial"/>
                <w:sz w:val="20"/>
                <w:szCs w:val="20"/>
              </w:rPr>
            </w:pPr>
            <w:r w:rsidRPr="00D42F01">
              <w:rPr>
                <w:rFonts w:ascii="Arial" w:hAnsi="Arial" w:cs="Arial"/>
                <w:bCs/>
                <w:color w:val="FFFFFF" w:themeColor="background1"/>
                <w:sz w:val="20"/>
                <w:szCs w:val="20"/>
              </w:rPr>
              <w:t>County</w:t>
            </w:r>
          </w:p>
        </w:tc>
        <w:tc>
          <w:tcPr>
            <w:tcW w:w="846"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3F19C173" w14:textId="77777777" w:rsidR="00526EFF" w:rsidRDefault="00526EFF" w:rsidP="00D9687A">
            <w:pPr>
              <w:spacing w:line="252" w:lineRule="auto"/>
              <w:ind w:left="44" w:right="62"/>
              <w:jc w:val="center"/>
              <w:rPr>
                <w:rFonts w:ascii="Arial" w:hAnsi="Arial" w:cs="Arial"/>
                <w:sz w:val="20"/>
                <w:szCs w:val="20"/>
              </w:rPr>
            </w:pPr>
            <w:r>
              <w:rPr>
                <w:rFonts w:ascii="Arial" w:hAnsi="Arial" w:cs="Arial"/>
                <w:color w:val="FFFFFF" w:themeColor="background1"/>
                <w:sz w:val="20"/>
                <w:szCs w:val="20"/>
              </w:rPr>
              <w:t>2025</w:t>
            </w:r>
          </w:p>
        </w:tc>
        <w:tc>
          <w:tcPr>
            <w:tcW w:w="689" w:type="dxa"/>
            <w:tcBorders>
              <w:top w:val="nil"/>
              <w:left w:val="single" w:sz="12" w:space="0" w:color="FFFFFF"/>
              <w:bottom w:val="nil"/>
              <w:right w:val="single" w:sz="12" w:space="0" w:color="FFFFFF"/>
            </w:tcBorders>
            <w:shd w:val="clear" w:color="auto" w:fill="1F4E79"/>
            <w:vAlign w:val="center"/>
          </w:tcPr>
          <w:p w14:paraId="5A1F3756" w14:textId="25CA4098" w:rsidR="00526EFF" w:rsidRDefault="00526EFF" w:rsidP="00D9687A">
            <w:pPr>
              <w:spacing w:line="252" w:lineRule="auto"/>
              <w:ind w:right="10"/>
              <w:jc w:val="center"/>
              <w:rPr>
                <w:rFonts w:ascii="Arial" w:hAnsi="Arial" w:cs="Arial"/>
                <w:sz w:val="20"/>
                <w:szCs w:val="20"/>
              </w:rPr>
            </w:pPr>
            <w:r>
              <w:rPr>
                <w:rFonts w:ascii="Arial" w:hAnsi="Arial" w:cs="Arial"/>
                <w:color w:val="FFFFFF" w:themeColor="background1"/>
                <w:sz w:val="20"/>
                <w:szCs w:val="20"/>
              </w:rPr>
              <w:t>2026</w:t>
            </w:r>
          </w:p>
        </w:tc>
        <w:tc>
          <w:tcPr>
            <w:tcW w:w="943" w:type="dxa"/>
            <w:tcBorders>
              <w:top w:val="nil"/>
              <w:left w:val="single" w:sz="12" w:space="0" w:color="FFFFFF"/>
              <w:bottom w:val="nil"/>
              <w:right w:val="nil"/>
            </w:tcBorders>
            <w:shd w:val="clear" w:color="auto" w:fill="1F4E79"/>
            <w:vAlign w:val="center"/>
          </w:tcPr>
          <w:p w14:paraId="7A9AC0EB" w14:textId="77777777" w:rsidR="00526EFF" w:rsidRPr="00576BA8" w:rsidRDefault="00526EFF" w:rsidP="00D9687A">
            <w:pPr>
              <w:spacing w:line="252" w:lineRule="auto"/>
              <w:ind w:right="10"/>
              <w:jc w:val="center"/>
              <w:rPr>
                <w:rFonts w:ascii="Arial Narrow" w:hAnsi="Arial Narrow" w:cs="Arial"/>
                <w:sz w:val="20"/>
                <w:szCs w:val="20"/>
              </w:rPr>
            </w:pPr>
            <w:r w:rsidRPr="00576BA8">
              <w:rPr>
                <w:rFonts w:ascii="Arial Narrow" w:hAnsi="Arial Narrow" w:cs="Arial"/>
                <w:color w:val="FFFFFF" w:themeColor="background1"/>
                <w:sz w:val="20"/>
                <w:szCs w:val="20"/>
              </w:rPr>
              <w:t>% Ch</w:t>
            </w:r>
            <w:r>
              <w:rPr>
                <w:rFonts w:ascii="Arial Narrow" w:hAnsi="Arial Narrow" w:cs="Arial"/>
                <w:color w:val="FFFFFF" w:themeColor="background1"/>
                <w:sz w:val="20"/>
                <w:szCs w:val="20"/>
              </w:rPr>
              <w:t>a</w:t>
            </w:r>
            <w:r w:rsidRPr="00576BA8">
              <w:rPr>
                <w:rFonts w:ascii="Arial Narrow" w:hAnsi="Arial Narrow" w:cs="Arial"/>
                <w:color w:val="FFFFFF" w:themeColor="background1"/>
                <w:sz w:val="20"/>
                <w:szCs w:val="20"/>
              </w:rPr>
              <w:t>nge</w:t>
            </w:r>
          </w:p>
        </w:tc>
      </w:tr>
      <w:tr w:rsidR="00E85892" w:rsidRPr="00627017" w14:paraId="74F9A485" w14:textId="77777777" w:rsidTr="00A954ED">
        <w:trPr>
          <w:trHeight w:val="288"/>
        </w:trPr>
        <w:tc>
          <w:tcPr>
            <w:tcW w:w="1382" w:type="dxa"/>
            <w:tcBorders>
              <w:top w:val="single" w:sz="8" w:space="0" w:color="FFFFFF" w:themeColor="background1"/>
              <w:left w:val="nil"/>
              <w:bottom w:val="nil"/>
              <w:right w:val="nil"/>
            </w:tcBorders>
            <w:tcMar>
              <w:top w:w="0" w:type="dxa"/>
              <w:left w:w="108" w:type="dxa"/>
              <w:bottom w:w="0" w:type="dxa"/>
              <w:right w:w="108" w:type="dxa"/>
            </w:tcMar>
            <w:vAlign w:val="center"/>
          </w:tcPr>
          <w:p w14:paraId="68566575"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Milwaukee</w:t>
            </w:r>
          </w:p>
        </w:tc>
        <w:tc>
          <w:tcPr>
            <w:tcW w:w="846" w:type="dxa"/>
            <w:tcBorders>
              <w:top w:val="single" w:sz="8" w:space="0" w:color="FFFFFF" w:themeColor="background1"/>
              <w:left w:val="nil"/>
              <w:bottom w:val="nil"/>
              <w:right w:val="nil"/>
            </w:tcBorders>
            <w:tcMar>
              <w:top w:w="0" w:type="dxa"/>
              <w:left w:w="108" w:type="dxa"/>
              <w:bottom w:w="0" w:type="dxa"/>
              <w:right w:w="108" w:type="dxa"/>
            </w:tcMar>
          </w:tcPr>
          <w:p w14:paraId="557F33F0" w14:textId="0C72E634"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1</w:t>
            </w:r>
            <w:r w:rsidR="009538E1">
              <w:rPr>
                <w:rFonts w:ascii="Arial" w:hAnsi="Arial" w:cs="Arial"/>
                <w:sz w:val="19"/>
                <w:szCs w:val="19"/>
              </w:rPr>
              <w:t>,</w:t>
            </w:r>
            <w:r w:rsidRPr="00E85892">
              <w:rPr>
                <w:rFonts w:ascii="Arial" w:hAnsi="Arial" w:cs="Arial"/>
                <w:sz w:val="19"/>
                <w:szCs w:val="19"/>
              </w:rPr>
              <w:t>242</w:t>
            </w:r>
          </w:p>
        </w:tc>
        <w:tc>
          <w:tcPr>
            <w:tcW w:w="689" w:type="dxa"/>
            <w:tcBorders>
              <w:top w:val="single" w:sz="8" w:space="0" w:color="FFFFFF" w:themeColor="background1"/>
              <w:left w:val="nil"/>
              <w:bottom w:val="nil"/>
              <w:right w:val="nil"/>
            </w:tcBorders>
          </w:tcPr>
          <w:p w14:paraId="0BF85063" w14:textId="4EBEE563"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1</w:t>
            </w:r>
            <w:r w:rsidR="009538E1">
              <w:rPr>
                <w:rFonts w:ascii="Arial" w:hAnsi="Arial" w:cs="Arial"/>
                <w:sz w:val="19"/>
                <w:szCs w:val="19"/>
              </w:rPr>
              <w:t>,</w:t>
            </w:r>
            <w:r w:rsidRPr="00E85892">
              <w:rPr>
                <w:rFonts w:ascii="Arial" w:hAnsi="Arial" w:cs="Arial"/>
                <w:sz w:val="19"/>
                <w:szCs w:val="19"/>
              </w:rPr>
              <w:t>293</w:t>
            </w:r>
          </w:p>
        </w:tc>
        <w:tc>
          <w:tcPr>
            <w:tcW w:w="943" w:type="dxa"/>
            <w:tcBorders>
              <w:top w:val="single" w:sz="8" w:space="0" w:color="FFFFFF" w:themeColor="background1"/>
              <w:left w:val="nil"/>
              <w:bottom w:val="nil"/>
              <w:right w:val="nil"/>
            </w:tcBorders>
          </w:tcPr>
          <w:p w14:paraId="5030A368" w14:textId="25E92657"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4.1%</w:t>
            </w:r>
          </w:p>
        </w:tc>
      </w:tr>
      <w:tr w:rsidR="00E85892" w:rsidRPr="00627017" w14:paraId="3953493B" w14:textId="77777777" w:rsidTr="00A954ED">
        <w:trPr>
          <w:trHeight w:val="288"/>
        </w:trPr>
        <w:tc>
          <w:tcPr>
            <w:tcW w:w="138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2829770E" w14:textId="2226B78D" w:rsidR="00E85892" w:rsidRPr="0079128A" w:rsidRDefault="00E85892" w:rsidP="00E85892">
            <w:pPr>
              <w:spacing w:line="252" w:lineRule="auto"/>
              <w:ind w:left="62" w:right="100"/>
              <w:rPr>
                <w:rFonts w:ascii="Arial" w:hAnsi="Arial" w:cs="Arial"/>
                <w:sz w:val="19"/>
                <w:szCs w:val="19"/>
              </w:rPr>
            </w:pPr>
            <w:r w:rsidRPr="0079128A">
              <w:rPr>
                <w:rFonts w:ascii="Arial" w:hAnsi="Arial" w:cs="Arial"/>
                <w:color w:val="000000"/>
                <w:sz w:val="19"/>
                <w:szCs w:val="19"/>
              </w:rPr>
              <w:t>Waukesha</w:t>
            </w:r>
          </w:p>
        </w:tc>
        <w:tc>
          <w:tcPr>
            <w:tcW w:w="846" w:type="dxa"/>
            <w:tcBorders>
              <w:top w:val="nil"/>
              <w:left w:val="nil"/>
              <w:bottom w:val="nil"/>
              <w:right w:val="nil"/>
            </w:tcBorders>
            <w:shd w:val="clear" w:color="auto" w:fill="DEEAF6" w:themeFill="accent1" w:themeFillTint="33"/>
            <w:tcMar>
              <w:top w:w="0" w:type="dxa"/>
              <w:left w:w="108" w:type="dxa"/>
              <w:bottom w:w="0" w:type="dxa"/>
              <w:right w:w="108" w:type="dxa"/>
            </w:tcMar>
          </w:tcPr>
          <w:p w14:paraId="59C92DEC" w14:textId="0643A2E8"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673</w:t>
            </w:r>
          </w:p>
        </w:tc>
        <w:tc>
          <w:tcPr>
            <w:tcW w:w="689" w:type="dxa"/>
            <w:tcBorders>
              <w:top w:val="nil"/>
              <w:left w:val="nil"/>
              <w:bottom w:val="nil"/>
              <w:right w:val="nil"/>
            </w:tcBorders>
            <w:shd w:val="clear" w:color="auto" w:fill="DEEAF6" w:themeFill="accent1" w:themeFillTint="33"/>
          </w:tcPr>
          <w:p w14:paraId="15F3AEC6" w14:textId="3E0E596D"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692</w:t>
            </w:r>
          </w:p>
        </w:tc>
        <w:tc>
          <w:tcPr>
            <w:tcW w:w="943" w:type="dxa"/>
            <w:tcBorders>
              <w:top w:val="nil"/>
              <w:left w:val="nil"/>
              <w:bottom w:val="nil"/>
              <w:right w:val="nil"/>
            </w:tcBorders>
            <w:shd w:val="clear" w:color="auto" w:fill="DEEAF6" w:themeFill="accent1" w:themeFillTint="33"/>
          </w:tcPr>
          <w:p w14:paraId="408494F5" w14:textId="00E71728"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2.8%</w:t>
            </w:r>
          </w:p>
        </w:tc>
      </w:tr>
      <w:tr w:rsidR="00E85892" w:rsidRPr="00627017" w14:paraId="4EB59E79" w14:textId="77777777" w:rsidTr="00A954ED">
        <w:trPr>
          <w:trHeight w:val="288"/>
        </w:trPr>
        <w:tc>
          <w:tcPr>
            <w:tcW w:w="1382" w:type="dxa"/>
            <w:tcBorders>
              <w:top w:val="nil"/>
              <w:left w:val="nil"/>
              <w:bottom w:val="nil"/>
              <w:right w:val="nil"/>
            </w:tcBorders>
            <w:tcMar>
              <w:top w:w="0" w:type="dxa"/>
              <w:left w:w="108" w:type="dxa"/>
              <w:bottom w:w="0" w:type="dxa"/>
              <w:right w:w="108" w:type="dxa"/>
            </w:tcMar>
            <w:vAlign w:val="center"/>
          </w:tcPr>
          <w:p w14:paraId="4B2D2830" w14:textId="1EC281F1"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Ozaukee</w:t>
            </w:r>
          </w:p>
        </w:tc>
        <w:tc>
          <w:tcPr>
            <w:tcW w:w="846" w:type="dxa"/>
            <w:tcBorders>
              <w:top w:val="nil"/>
              <w:left w:val="nil"/>
              <w:bottom w:val="nil"/>
              <w:right w:val="nil"/>
            </w:tcBorders>
            <w:tcMar>
              <w:top w:w="0" w:type="dxa"/>
              <w:left w:w="108" w:type="dxa"/>
              <w:bottom w:w="0" w:type="dxa"/>
              <w:right w:w="108" w:type="dxa"/>
            </w:tcMar>
          </w:tcPr>
          <w:p w14:paraId="1E6B856B" w14:textId="335F0400"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146</w:t>
            </w:r>
          </w:p>
        </w:tc>
        <w:tc>
          <w:tcPr>
            <w:tcW w:w="689" w:type="dxa"/>
            <w:tcBorders>
              <w:top w:val="nil"/>
              <w:left w:val="nil"/>
              <w:bottom w:val="nil"/>
              <w:right w:val="nil"/>
            </w:tcBorders>
          </w:tcPr>
          <w:p w14:paraId="1DEA1464" w14:textId="4F9BD744"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146</w:t>
            </w:r>
          </w:p>
        </w:tc>
        <w:tc>
          <w:tcPr>
            <w:tcW w:w="943" w:type="dxa"/>
            <w:tcBorders>
              <w:top w:val="nil"/>
              <w:left w:val="nil"/>
              <w:bottom w:val="nil"/>
              <w:right w:val="nil"/>
            </w:tcBorders>
          </w:tcPr>
          <w:p w14:paraId="381D14D9" w14:textId="58889AD8"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0.0%</w:t>
            </w:r>
          </w:p>
        </w:tc>
      </w:tr>
      <w:tr w:rsidR="00E85892" w:rsidRPr="00627017" w14:paraId="05833B7B" w14:textId="77777777" w:rsidTr="00A954ED">
        <w:trPr>
          <w:trHeight w:val="288"/>
        </w:trPr>
        <w:tc>
          <w:tcPr>
            <w:tcW w:w="138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288D7966"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color w:val="000000"/>
                <w:sz w:val="19"/>
                <w:szCs w:val="19"/>
              </w:rPr>
              <w:t>Washington</w:t>
            </w:r>
          </w:p>
        </w:tc>
        <w:tc>
          <w:tcPr>
            <w:tcW w:w="846"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5677180B" w14:textId="76722BB8"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232</w:t>
            </w:r>
          </w:p>
        </w:tc>
        <w:tc>
          <w:tcPr>
            <w:tcW w:w="689" w:type="dxa"/>
            <w:tcBorders>
              <w:top w:val="nil"/>
              <w:left w:val="nil"/>
              <w:bottom w:val="single" w:sz="4" w:space="0" w:color="auto"/>
              <w:right w:val="nil"/>
            </w:tcBorders>
            <w:shd w:val="clear" w:color="auto" w:fill="DEEAF6" w:themeFill="accent1" w:themeFillTint="33"/>
          </w:tcPr>
          <w:p w14:paraId="31E23D9B" w14:textId="5A4C0759"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204</w:t>
            </w:r>
          </w:p>
        </w:tc>
        <w:tc>
          <w:tcPr>
            <w:tcW w:w="943" w:type="dxa"/>
            <w:tcBorders>
              <w:top w:val="nil"/>
              <w:left w:val="nil"/>
              <w:bottom w:val="nil"/>
              <w:right w:val="nil"/>
            </w:tcBorders>
            <w:shd w:val="clear" w:color="auto" w:fill="DEEAF6" w:themeFill="accent1" w:themeFillTint="33"/>
          </w:tcPr>
          <w:p w14:paraId="4F623475" w14:textId="17F4E8C0"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-12.1%</w:t>
            </w:r>
          </w:p>
        </w:tc>
      </w:tr>
      <w:tr w:rsidR="00E85892" w:rsidRPr="00627017" w14:paraId="0570CF0B" w14:textId="77777777" w:rsidTr="00A954ED">
        <w:trPr>
          <w:trHeight w:val="288"/>
        </w:trPr>
        <w:tc>
          <w:tcPr>
            <w:tcW w:w="1382" w:type="dxa"/>
            <w:tcBorders>
              <w:top w:val="single" w:sz="4" w:space="0" w:color="auto"/>
              <w:left w:val="nil"/>
              <w:bottom w:val="nil"/>
              <w:right w:val="nil"/>
            </w:tcBorders>
            <w:tcMar>
              <w:top w:w="0" w:type="dxa"/>
              <w:left w:w="108" w:type="dxa"/>
              <w:bottom w:w="0" w:type="dxa"/>
              <w:right w:w="108" w:type="dxa"/>
            </w:tcMar>
            <w:vAlign w:val="center"/>
          </w:tcPr>
          <w:p w14:paraId="168DA265"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Metro Area</w:t>
            </w:r>
          </w:p>
        </w:tc>
        <w:tc>
          <w:tcPr>
            <w:tcW w:w="846" w:type="dxa"/>
            <w:tcBorders>
              <w:top w:val="single" w:sz="4" w:space="0" w:color="auto"/>
              <w:left w:val="nil"/>
              <w:bottom w:val="nil"/>
              <w:right w:val="nil"/>
            </w:tcBorders>
            <w:tcMar>
              <w:top w:w="0" w:type="dxa"/>
              <w:left w:w="108" w:type="dxa"/>
              <w:bottom w:w="0" w:type="dxa"/>
              <w:right w:w="108" w:type="dxa"/>
            </w:tcMar>
          </w:tcPr>
          <w:p w14:paraId="529BC5D2" w14:textId="5C23CC66"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2,293</w:t>
            </w:r>
          </w:p>
        </w:tc>
        <w:tc>
          <w:tcPr>
            <w:tcW w:w="689" w:type="dxa"/>
            <w:tcBorders>
              <w:top w:val="single" w:sz="4" w:space="0" w:color="auto"/>
              <w:left w:val="nil"/>
              <w:bottom w:val="nil"/>
              <w:right w:val="nil"/>
            </w:tcBorders>
          </w:tcPr>
          <w:p w14:paraId="3D00EDEB" w14:textId="1D21B23C"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2,335</w:t>
            </w:r>
          </w:p>
        </w:tc>
        <w:tc>
          <w:tcPr>
            <w:tcW w:w="943" w:type="dxa"/>
            <w:tcBorders>
              <w:top w:val="nil"/>
              <w:left w:val="nil"/>
              <w:bottom w:val="nil"/>
              <w:right w:val="nil"/>
            </w:tcBorders>
          </w:tcPr>
          <w:p w14:paraId="67B42809" w14:textId="3934318F"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1.8%</w:t>
            </w:r>
          </w:p>
        </w:tc>
      </w:tr>
      <w:tr w:rsidR="00526EFF" w:rsidRPr="00627017" w14:paraId="108928C7" w14:textId="77777777" w:rsidTr="00D9687A">
        <w:trPr>
          <w:trHeight w:val="82"/>
        </w:trPr>
        <w:tc>
          <w:tcPr>
            <w:tcW w:w="386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53C39071" w14:textId="77777777" w:rsidR="00526EFF" w:rsidRPr="0077044F" w:rsidRDefault="00526EFF" w:rsidP="00D9687A">
            <w:pPr>
              <w:spacing w:line="252" w:lineRule="auto"/>
              <w:ind w:right="195"/>
              <w:rPr>
                <w:rFonts w:ascii="Arial" w:hAnsi="Arial" w:cs="Arial"/>
                <w:sz w:val="10"/>
                <w:szCs w:val="10"/>
              </w:rPr>
            </w:pPr>
          </w:p>
        </w:tc>
      </w:tr>
      <w:tr w:rsidR="00E85892" w:rsidRPr="00627017" w14:paraId="0C7D4224" w14:textId="77777777" w:rsidTr="00EC5BE8">
        <w:trPr>
          <w:trHeight w:val="288"/>
        </w:trPr>
        <w:tc>
          <w:tcPr>
            <w:tcW w:w="1382" w:type="dxa"/>
            <w:tcBorders>
              <w:top w:val="nil"/>
              <w:left w:val="nil"/>
              <w:bottom w:val="nil"/>
              <w:right w:val="nil"/>
            </w:tcBorders>
            <w:tcMar>
              <w:top w:w="0" w:type="dxa"/>
              <w:left w:w="108" w:type="dxa"/>
              <w:bottom w:w="0" w:type="dxa"/>
              <w:right w:w="108" w:type="dxa"/>
            </w:tcMar>
            <w:vAlign w:val="center"/>
          </w:tcPr>
          <w:p w14:paraId="78EE1914"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Sheboygan</w:t>
            </w:r>
          </w:p>
        </w:tc>
        <w:tc>
          <w:tcPr>
            <w:tcW w:w="846" w:type="dxa"/>
            <w:tcBorders>
              <w:top w:val="nil"/>
              <w:left w:val="nil"/>
              <w:bottom w:val="nil"/>
              <w:right w:val="nil"/>
            </w:tcBorders>
            <w:tcMar>
              <w:top w:w="0" w:type="dxa"/>
              <w:left w:w="108" w:type="dxa"/>
              <w:bottom w:w="0" w:type="dxa"/>
              <w:right w:w="108" w:type="dxa"/>
            </w:tcMar>
          </w:tcPr>
          <w:p w14:paraId="61451CB5" w14:textId="32B278A6"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152</w:t>
            </w:r>
          </w:p>
        </w:tc>
        <w:tc>
          <w:tcPr>
            <w:tcW w:w="689" w:type="dxa"/>
            <w:tcBorders>
              <w:top w:val="nil"/>
              <w:left w:val="nil"/>
              <w:bottom w:val="nil"/>
              <w:right w:val="nil"/>
            </w:tcBorders>
          </w:tcPr>
          <w:p w14:paraId="336B431E" w14:textId="279A23F4"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142</w:t>
            </w:r>
          </w:p>
        </w:tc>
        <w:tc>
          <w:tcPr>
            <w:tcW w:w="943" w:type="dxa"/>
            <w:tcBorders>
              <w:top w:val="nil"/>
              <w:left w:val="nil"/>
              <w:bottom w:val="nil"/>
              <w:right w:val="nil"/>
            </w:tcBorders>
          </w:tcPr>
          <w:p w14:paraId="34FA96F0" w14:textId="5257E11B"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-6.6%</w:t>
            </w:r>
          </w:p>
        </w:tc>
      </w:tr>
      <w:tr w:rsidR="00E85892" w:rsidRPr="00627017" w14:paraId="4C744E94" w14:textId="77777777" w:rsidTr="00EC5BE8">
        <w:trPr>
          <w:trHeight w:val="288"/>
        </w:trPr>
        <w:tc>
          <w:tcPr>
            <w:tcW w:w="138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3C5F2776"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Racine</w:t>
            </w:r>
          </w:p>
        </w:tc>
        <w:tc>
          <w:tcPr>
            <w:tcW w:w="846" w:type="dxa"/>
            <w:tcBorders>
              <w:top w:val="nil"/>
              <w:left w:val="nil"/>
              <w:bottom w:val="nil"/>
              <w:right w:val="nil"/>
            </w:tcBorders>
            <w:shd w:val="clear" w:color="auto" w:fill="DEEAF6" w:themeFill="accent1" w:themeFillTint="33"/>
            <w:tcMar>
              <w:top w:w="0" w:type="dxa"/>
              <w:left w:w="108" w:type="dxa"/>
              <w:bottom w:w="0" w:type="dxa"/>
              <w:right w:w="108" w:type="dxa"/>
            </w:tcMar>
          </w:tcPr>
          <w:p w14:paraId="29799F2D" w14:textId="59FBE51F"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260</w:t>
            </w:r>
          </w:p>
        </w:tc>
        <w:tc>
          <w:tcPr>
            <w:tcW w:w="689" w:type="dxa"/>
            <w:tcBorders>
              <w:top w:val="nil"/>
              <w:left w:val="nil"/>
              <w:bottom w:val="nil"/>
              <w:right w:val="nil"/>
            </w:tcBorders>
            <w:shd w:val="clear" w:color="auto" w:fill="DEEAF6" w:themeFill="accent1" w:themeFillTint="33"/>
          </w:tcPr>
          <w:p w14:paraId="39DC5BDD" w14:textId="04CFB398"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314</w:t>
            </w:r>
          </w:p>
        </w:tc>
        <w:tc>
          <w:tcPr>
            <w:tcW w:w="943" w:type="dxa"/>
            <w:tcBorders>
              <w:top w:val="nil"/>
              <w:left w:val="nil"/>
              <w:bottom w:val="nil"/>
              <w:right w:val="nil"/>
            </w:tcBorders>
            <w:shd w:val="clear" w:color="auto" w:fill="DEEAF6" w:themeFill="accent1" w:themeFillTint="33"/>
          </w:tcPr>
          <w:p w14:paraId="55BCF0F2" w14:textId="650B4AB9"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20.8%</w:t>
            </w:r>
          </w:p>
        </w:tc>
      </w:tr>
      <w:tr w:rsidR="00E85892" w:rsidRPr="00627017" w14:paraId="04B48CCE" w14:textId="77777777" w:rsidTr="00EC5BE8">
        <w:trPr>
          <w:trHeight w:val="288"/>
        </w:trPr>
        <w:tc>
          <w:tcPr>
            <w:tcW w:w="1382" w:type="dxa"/>
            <w:tcBorders>
              <w:top w:val="nil"/>
              <w:left w:val="nil"/>
              <w:bottom w:val="nil"/>
              <w:right w:val="nil"/>
            </w:tcBorders>
            <w:tcMar>
              <w:top w:w="0" w:type="dxa"/>
              <w:left w:w="108" w:type="dxa"/>
              <w:bottom w:w="0" w:type="dxa"/>
              <w:right w:w="108" w:type="dxa"/>
            </w:tcMar>
            <w:vAlign w:val="center"/>
          </w:tcPr>
          <w:p w14:paraId="24F7555D"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color w:val="000000"/>
                <w:sz w:val="19"/>
                <w:szCs w:val="19"/>
              </w:rPr>
              <w:t>Kenosha</w:t>
            </w:r>
          </w:p>
        </w:tc>
        <w:tc>
          <w:tcPr>
            <w:tcW w:w="846" w:type="dxa"/>
            <w:tcBorders>
              <w:top w:val="nil"/>
              <w:left w:val="nil"/>
              <w:bottom w:val="nil"/>
              <w:right w:val="nil"/>
            </w:tcBorders>
            <w:tcMar>
              <w:top w:w="0" w:type="dxa"/>
              <w:left w:w="108" w:type="dxa"/>
              <w:bottom w:w="0" w:type="dxa"/>
              <w:right w:w="108" w:type="dxa"/>
            </w:tcMar>
          </w:tcPr>
          <w:p w14:paraId="3F92A335" w14:textId="648C8BF2"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221</w:t>
            </w:r>
          </w:p>
        </w:tc>
        <w:tc>
          <w:tcPr>
            <w:tcW w:w="689" w:type="dxa"/>
            <w:tcBorders>
              <w:top w:val="nil"/>
              <w:left w:val="nil"/>
              <w:bottom w:val="nil"/>
              <w:right w:val="nil"/>
            </w:tcBorders>
          </w:tcPr>
          <w:p w14:paraId="778BFA99" w14:textId="337D84CD"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224</w:t>
            </w:r>
          </w:p>
        </w:tc>
        <w:tc>
          <w:tcPr>
            <w:tcW w:w="943" w:type="dxa"/>
            <w:tcBorders>
              <w:top w:val="nil"/>
              <w:left w:val="nil"/>
              <w:bottom w:val="nil"/>
              <w:right w:val="nil"/>
            </w:tcBorders>
          </w:tcPr>
          <w:p w14:paraId="5019B153" w14:textId="0160AD5D"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1.4%</w:t>
            </w:r>
          </w:p>
        </w:tc>
      </w:tr>
      <w:tr w:rsidR="00E85892" w:rsidRPr="00627017" w14:paraId="7FBEBAE0" w14:textId="77777777" w:rsidTr="00EC5BE8">
        <w:trPr>
          <w:trHeight w:val="288"/>
        </w:trPr>
        <w:tc>
          <w:tcPr>
            <w:tcW w:w="138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1D8A7189"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sz w:val="19"/>
                <w:szCs w:val="19"/>
              </w:rPr>
              <w:t>Walworth</w:t>
            </w:r>
          </w:p>
        </w:tc>
        <w:tc>
          <w:tcPr>
            <w:tcW w:w="846"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63325F2C" w14:textId="71CA4EAA"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212</w:t>
            </w:r>
          </w:p>
        </w:tc>
        <w:tc>
          <w:tcPr>
            <w:tcW w:w="689" w:type="dxa"/>
            <w:tcBorders>
              <w:top w:val="nil"/>
              <w:left w:val="nil"/>
              <w:bottom w:val="single" w:sz="4" w:space="0" w:color="auto"/>
              <w:right w:val="nil"/>
            </w:tcBorders>
            <w:shd w:val="clear" w:color="auto" w:fill="DEEAF6" w:themeFill="accent1" w:themeFillTint="33"/>
          </w:tcPr>
          <w:p w14:paraId="1E7A02FD" w14:textId="0F2814D0"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216</w:t>
            </w:r>
          </w:p>
        </w:tc>
        <w:tc>
          <w:tcPr>
            <w:tcW w:w="943" w:type="dxa"/>
            <w:tcBorders>
              <w:top w:val="nil"/>
              <w:left w:val="nil"/>
              <w:bottom w:val="nil"/>
              <w:right w:val="nil"/>
            </w:tcBorders>
            <w:shd w:val="clear" w:color="auto" w:fill="DEEAF6" w:themeFill="accent1" w:themeFillTint="33"/>
          </w:tcPr>
          <w:p w14:paraId="49D15BE2" w14:textId="67F1F5AE"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1.9%</w:t>
            </w:r>
          </w:p>
        </w:tc>
      </w:tr>
      <w:tr w:rsidR="00E85892" w:rsidRPr="00627017" w14:paraId="1EDD5A63" w14:textId="77777777" w:rsidTr="00EC5BE8">
        <w:trPr>
          <w:trHeight w:val="288"/>
        </w:trPr>
        <w:tc>
          <w:tcPr>
            <w:tcW w:w="1382" w:type="dxa"/>
            <w:tcBorders>
              <w:top w:val="single" w:sz="4" w:space="0" w:color="auto"/>
              <w:left w:val="nil"/>
              <w:bottom w:val="nil"/>
              <w:right w:val="nil"/>
            </w:tcBorders>
            <w:tcMar>
              <w:top w:w="0" w:type="dxa"/>
              <w:left w:w="108" w:type="dxa"/>
              <w:bottom w:w="0" w:type="dxa"/>
              <w:right w:w="108" w:type="dxa"/>
            </w:tcMar>
            <w:vAlign w:val="center"/>
          </w:tcPr>
          <w:p w14:paraId="5314120B" w14:textId="77777777" w:rsidR="00E85892" w:rsidRPr="0079128A" w:rsidRDefault="00E85892" w:rsidP="00E85892">
            <w:pPr>
              <w:spacing w:line="252" w:lineRule="auto"/>
              <w:ind w:left="62" w:right="100"/>
              <w:rPr>
                <w:rFonts w:ascii="Arial" w:hAnsi="Arial" w:cs="Arial"/>
                <w:sz w:val="19"/>
                <w:szCs w:val="19"/>
              </w:rPr>
            </w:pPr>
            <w:r w:rsidRPr="0079128A">
              <w:rPr>
                <w:rFonts w:ascii="Arial" w:hAnsi="Arial" w:cs="Arial"/>
                <w:color w:val="000000"/>
                <w:sz w:val="19"/>
                <w:szCs w:val="19"/>
              </w:rPr>
              <w:t>SE WI Area</w:t>
            </w:r>
          </w:p>
        </w:tc>
        <w:tc>
          <w:tcPr>
            <w:tcW w:w="846" w:type="dxa"/>
            <w:tcBorders>
              <w:top w:val="single" w:sz="4" w:space="0" w:color="auto"/>
              <w:left w:val="nil"/>
              <w:bottom w:val="nil"/>
              <w:right w:val="nil"/>
            </w:tcBorders>
            <w:tcMar>
              <w:top w:w="0" w:type="dxa"/>
              <w:left w:w="108" w:type="dxa"/>
              <w:bottom w:w="0" w:type="dxa"/>
              <w:right w:w="108" w:type="dxa"/>
            </w:tcMar>
          </w:tcPr>
          <w:p w14:paraId="440514C6" w14:textId="4C37D7FE" w:rsidR="00E85892" w:rsidRPr="00E85892" w:rsidRDefault="00E85892" w:rsidP="00E85892">
            <w:pPr>
              <w:spacing w:line="252" w:lineRule="auto"/>
              <w:ind w:left="44" w:right="62"/>
              <w:jc w:val="right"/>
              <w:rPr>
                <w:rFonts w:ascii="Arial" w:hAnsi="Arial" w:cs="Arial"/>
                <w:sz w:val="19"/>
                <w:szCs w:val="19"/>
              </w:rPr>
            </w:pPr>
            <w:r w:rsidRPr="00E85892">
              <w:rPr>
                <w:rFonts w:ascii="Arial" w:hAnsi="Arial" w:cs="Arial"/>
                <w:sz w:val="19"/>
                <w:szCs w:val="19"/>
              </w:rPr>
              <w:t>3,138</w:t>
            </w:r>
          </w:p>
        </w:tc>
        <w:tc>
          <w:tcPr>
            <w:tcW w:w="689" w:type="dxa"/>
            <w:tcBorders>
              <w:top w:val="single" w:sz="4" w:space="0" w:color="auto"/>
              <w:left w:val="nil"/>
              <w:bottom w:val="nil"/>
              <w:right w:val="nil"/>
            </w:tcBorders>
          </w:tcPr>
          <w:p w14:paraId="11FAD589" w14:textId="08405FCB" w:rsidR="00E85892" w:rsidRPr="00E85892" w:rsidRDefault="00E85892" w:rsidP="00E85892">
            <w:pPr>
              <w:spacing w:line="252" w:lineRule="auto"/>
              <w:ind w:right="110"/>
              <w:jc w:val="right"/>
              <w:rPr>
                <w:rFonts w:ascii="Arial" w:hAnsi="Arial" w:cs="Arial"/>
                <w:sz w:val="19"/>
                <w:szCs w:val="19"/>
              </w:rPr>
            </w:pPr>
            <w:r w:rsidRPr="00E85892">
              <w:rPr>
                <w:rFonts w:ascii="Arial" w:hAnsi="Arial" w:cs="Arial"/>
                <w:sz w:val="19"/>
                <w:szCs w:val="19"/>
              </w:rPr>
              <w:t>3,231</w:t>
            </w:r>
          </w:p>
        </w:tc>
        <w:tc>
          <w:tcPr>
            <w:tcW w:w="943" w:type="dxa"/>
            <w:tcBorders>
              <w:top w:val="nil"/>
              <w:left w:val="nil"/>
              <w:bottom w:val="nil"/>
              <w:right w:val="nil"/>
            </w:tcBorders>
          </w:tcPr>
          <w:p w14:paraId="5EDEA7EF" w14:textId="43436827" w:rsidR="00E85892" w:rsidRPr="00E85892" w:rsidRDefault="00E85892" w:rsidP="00E85892">
            <w:pPr>
              <w:spacing w:line="252" w:lineRule="auto"/>
              <w:ind w:right="195"/>
              <w:jc w:val="right"/>
              <w:rPr>
                <w:rFonts w:ascii="Arial" w:hAnsi="Arial" w:cs="Arial"/>
                <w:sz w:val="19"/>
                <w:szCs w:val="19"/>
              </w:rPr>
            </w:pPr>
            <w:r w:rsidRPr="00E85892">
              <w:rPr>
                <w:rFonts w:ascii="Arial" w:hAnsi="Arial" w:cs="Arial"/>
                <w:sz w:val="19"/>
                <w:szCs w:val="19"/>
              </w:rPr>
              <w:t>3.0%</w:t>
            </w:r>
          </w:p>
        </w:tc>
      </w:tr>
    </w:tbl>
    <w:p w14:paraId="27F1EB13" w14:textId="7660AF9A" w:rsidR="00E913B2" w:rsidRDefault="00E913B2" w:rsidP="00F402BD">
      <w:pPr>
        <w:spacing w:before="120" w:after="120"/>
        <w:ind w:right="-360"/>
      </w:pPr>
    </w:p>
    <w:p w14:paraId="7F2D578B" w14:textId="3963909A" w:rsidR="00E913B2" w:rsidRPr="00BF0DA5" w:rsidRDefault="00E913B2" w:rsidP="00BF0DA5">
      <w:pPr>
        <w:pStyle w:val="ParagraphIntro"/>
      </w:pPr>
      <w:r w:rsidRPr="00BF0DA5">
        <w:t>Market Summary</w:t>
      </w:r>
    </w:p>
    <w:p w14:paraId="433021AF" w14:textId="0BD84382" w:rsidR="00D9687A" w:rsidRPr="00D9687A" w:rsidRDefault="00F00818" w:rsidP="00D9687A">
      <w:pPr>
        <w:rPr>
          <w:szCs w:val="21"/>
        </w:rPr>
      </w:pPr>
      <w:r w:rsidRPr="00DF7DFC">
        <w:rPr>
          <w:szCs w:val="21"/>
        </w:rPr>
        <w:t xml:space="preserve">Home sales </w:t>
      </w:r>
      <w:r w:rsidR="000023B2">
        <w:rPr>
          <w:szCs w:val="21"/>
        </w:rPr>
        <w:t>continued their strong showing for a fourth straight month in May.</w:t>
      </w:r>
      <w:r w:rsidR="00D9687A" w:rsidRPr="00D9687A">
        <w:rPr>
          <w:szCs w:val="21"/>
        </w:rPr>
        <w:t xml:space="preserve"> </w:t>
      </w:r>
      <w:r w:rsidR="002B46F0">
        <w:rPr>
          <w:szCs w:val="21"/>
        </w:rPr>
        <w:t xml:space="preserve">Sales last month </w:t>
      </w:r>
      <w:r w:rsidR="00D9687A" w:rsidRPr="00D9687A">
        <w:rPr>
          <w:szCs w:val="21"/>
        </w:rPr>
        <w:t xml:space="preserve">were </w:t>
      </w:r>
      <w:r w:rsidR="000023B2">
        <w:rPr>
          <w:szCs w:val="21"/>
        </w:rPr>
        <w:t>6</w:t>
      </w:r>
      <w:r w:rsidR="00D9687A" w:rsidRPr="00D9687A">
        <w:rPr>
          <w:szCs w:val="21"/>
        </w:rPr>
        <w:t>.</w:t>
      </w:r>
      <w:r w:rsidR="000023B2">
        <w:rPr>
          <w:szCs w:val="21"/>
        </w:rPr>
        <w:t>3</w:t>
      </w:r>
      <w:r w:rsidR="00D9687A" w:rsidRPr="00D9687A">
        <w:rPr>
          <w:szCs w:val="21"/>
        </w:rPr>
        <w:t>% ahead of</w:t>
      </w:r>
      <w:r w:rsidR="00AE6E14" w:rsidRPr="00D9687A">
        <w:rPr>
          <w:szCs w:val="21"/>
        </w:rPr>
        <w:t xml:space="preserve"> </w:t>
      </w:r>
      <w:r w:rsidR="00E85892">
        <w:rPr>
          <w:szCs w:val="21"/>
        </w:rPr>
        <w:t>May</w:t>
      </w:r>
      <w:r w:rsidR="00AE6E14" w:rsidRPr="00D9687A">
        <w:rPr>
          <w:szCs w:val="21"/>
        </w:rPr>
        <w:t xml:space="preserve"> </w:t>
      </w:r>
      <w:r w:rsidR="00D9687A" w:rsidRPr="00D9687A">
        <w:rPr>
          <w:szCs w:val="21"/>
        </w:rPr>
        <w:t xml:space="preserve">of 2025. </w:t>
      </w:r>
    </w:p>
    <w:p w14:paraId="4CE3C656" w14:textId="77777777" w:rsidR="00AE6E14" w:rsidRPr="00D9687A" w:rsidRDefault="00AE6E14" w:rsidP="00F00818">
      <w:pPr>
        <w:rPr>
          <w:szCs w:val="21"/>
        </w:rPr>
      </w:pPr>
    </w:p>
    <w:p w14:paraId="0A215C2A" w14:textId="4D662089" w:rsidR="00D9687A" w:rsidRPr="00D9687A" w:rsidRDefault="000023B2" w:rsidP="00F00818">
      <w:pPr>
        <w:rPr>
          <w:szCs w:val="21"/>
        </w:rPr>
      </w:pPr>
      <w:r>
        <w:rPr>
          <w:szCs w:val="21"/>
        </w:rPr>
        <w:t>May sales were also 6.1% ahead of May 2024</w:t>
      </w:r>
      <w:r w:rsidR="00FB26D7">
        <w:rPr>
          <w:szCs w:val="21"/>
        </w:rPr>
        <w:t xml:space="preserve">. In fact, last month was the best May the Milwaukee market </w:t>
      </w:r>
      <w:r w:rsidR="00D70B9F">
        <w:rPr>
          <w:szCs w:val="21"/>
        </w:rPr>
        <w:t>has seen</w:t>
      </w:r>
      <w:r w:rsidR="00FB26D7">
        <w:rPr>
          <w:szCs w:val="21"/>
        </w:rPr>
        <w:t xml:space="preserve"> since 2022</w:t>
      </w:r>
      <w:r w:rsidR="00D70B9F">
        <w:rPr>
          <w:szCs w:val="21"/>
        </w:rPr>
        <w:t xml:space="preserve"> -</w:t>
      </w:r>
      <w:r w:rsidR="00FB26D7">
        <w:rPr>
          <w:szCs w:val="21"/>
        </w:rPr>
        <w:t xml:space="preserve"> just before interest rates increased</w:t>
      </w:r>
      <w:r w:rsidR="009538E1">
        <w:rPr>
          <w:szCs w:val="21"/>
        </w:rPr>
        <w:t xml:space="preserve">; </w:t>
      </w:r>
      <w:r w:rsidR="00FB26D7">
        <w:rPr>
          <w:szCs w:val="21"/>
        </w:rPr>
        <w:t xml:space="preserve">an encouraging sign the market has recovered from the shock of rising interest rates four years ago. </w:t>
      </w:r>
    </w:p>
    <w:p w14:paraId="221243E1" w14:textId="77777777" w:rsidR="00820C93" w:rsidRDefault="00820C93" w:rsidP="00F00818">
      <w:pPr>
        <w:rPr>
          <w:szCs w:val="21"/>
        </w:rPr>
      </w:pPr>
    </w:p>
    <w:p w14:paraId="602FB192" w14:textId="5F628668" w:rsidR="00CA574D" w:rsidRPr="00820C93" w:rsidRDefault="009C3D50" w:rsidP="00D70B9F">
      <w:pPr>
        <w:pBdr>
          <w:top w:val="single" w:sz="18" w:space="4" w:color="auto"/>
          <w:bottom w:val="single" w:sz="18" w:space="4" w:color="auto"/>
        </w:pBdr>
        <w:ind w:left="-90"/>
        <w:jc w:val="center"/>
        <w:rPr>
          <w:b/>
          <w:bCs/>
          <w:color w:val="404040" w:themeColor="text1" w:themeTint="BF"/>
          <w:sz w:val="30"/>
          <w:szCs w:val="30"/>
        </w:rPr>
      </w:pPr>
      <w:r>
        <w:rPr>
          <w:b/>
          <w:bCs/>
          <w:color w:val="404040" w:themeColor="text1" w:themeTint="BF"/>
          <w:sz w:val="30"/>
          <w:szCs w:val="30"/>
        </w:rPr>
        <w:t xml:space="preserve">… </w:t>
      </w:r>
      <w:r w:rsidR="00D70B9F">
        <w:rPr>
          <w:b/>
          <w:bCs/>
          <w:color w:val="404040" w:themeColor="text1" w:themeTint="BF"/>
          <w:sz w:val="30"/>
          <w:szCs w:val="30"/>
        </w:rPr>
        <w:t>the</w:t>
      </w:r>
      <w:r w:rsidRPr="009C3D50">
        <w:rPr>
          <w:b/>
          <w:bCs/>
          <w:color w:val="404040" w:themeColor="text1" w:themeTint="BF"/>
          <w:sz w:val="30"/>
          <w:szCs w:val="30"/>
        </w:rPr>
        <w:t xml:space="preserve"> best May the Milwaukee market </w:t>
      </w:r>
      <w:r w:rsidR="00D70B9F">
        <w:rPr>
          <w:b/>
          <w:bCs/>
          <w:color w:val="404040" w:themeColor="text1" w:themeTint="BF"/>
          <w:sz w:val="30"/>
          <w:szCs w:val="30"/>
        </w:rPr>
        <w:t>ha</w:t>
      </w:r>
      <w:r w:rsidRPr="009C3D50">
        <w:rPr>
          <w:b/>
          <w:bCs/>
          <w:color w:val="404040" w:themeColor="text1" w:themeTint="BF"/>
          <w:sz w:val="30"/>
          <w:szCs w:val="30"/>
        </w:rPr>
        <w:t xml:space="preserve">s </w:t>
      </w:r>
      <w:r w:rsidR="00D70B9F">
        <w:rPr>
          <w:b/>
          <w:bCs/>
          <w:color w:val="404040" w:themeColor="text1" w:themeTint="BF"/>
          <w:sz w:val="30"/>
          <w:szCs w:val="30"/>
        </w:rPr>
        <w:t xml:space="preserve">seen </w:t>
      </w:r>
      <w:r w:rsidRPr="009C3D50">
        <w:rPr>
          <w:b/>
          <w:bCs/>
          <w:color w:val="404040" w:themeColor="text1" w:themeTint="BF"/>
          <w:sz w:val="30"/>
          <w:szCs w:val="30"/>
        </w:rPr>
        <w:t>since 2022</w:t>
      </w:r>
      <w:r w:rsidR="00D70B9F">
        <w:rPr>
          <w:b/>
          <w:bCs/>
          <w:color w:val="404040" w:themeColor="text1" w:themeTint="BF"/>
          <w:sz w:val="30"/>
          <w:szCs w:val="30"/>
        </w:rPr>
        <w:t xml:space="preserve"> -</w:t>
      </w:r>
      <w:r w:rsidRPr="009C3D50">
        <w:rPr>
          <w:b/>
          <w:bCs/>
          <w:color w:val="404040" w:themeColor="text1" w:themeTint="BF"/>
          <w:sz w:val="30"/>
          <w:szCs w:val="30"/>
        </w:rPr>
        <w:t xml:space="preserve"> just before interest rates increased</w:t>
      </w:r>
      <w:r w:rsidR="00D70B9F">
        <w:rPr>
          <w:b/>
          <w:bCs/>
          <w:color w:val="404040" w:themeColor="text1" w:themeTint="BF"/>
          <w:sz w:val="30"/>
          <w:szCs w:val="30"/>
        </w:rPr>
        <w:t>…</w:t>
      </w:r>
    </w:p>
    <w:p w14:paraId="5CFA86D8" w14:textId="77777777" w:rsidR="00820C93" w:rsidRDefault="00820C93" w:rsidP="00F00818">
      <w:pPr>
        <w:rPr>
          <w:szCs w:val="21"/>
        </w:rPr>
      </w:pPr>
    </w:p>
    <w:p w14:paraId="287CC072" w14:textId="25ADD268" w:rsidR="00015079" w:rsidRDefault="00015079" w:rsidP="00F00818">
      <w:pPr>
        <w:rPr>
          <w:szCs w:val="21"/>
        </w:rPr>
      </w:pPr>
      <w:r>
        <w:rPr>
          <w:szCs w:val="21"/>
        </w:rPr>
        <w:t xml:space="preserve">The only reason sales have been able to climb is because listings have increased. There is so much demand pressure in the market that as soon as listings enter MLS there is immediate activity. </w:t>
      </w:r>
    </w:p>
    <w:p w14:paraId="07B4CE4A" w14:textId="77777777" w:rsidR="00015079" w:rsidRDefault="00015079" w:rsidP="00F00818">
      <w:pPr>
        <w:rPr>
          <w:szCs w:val="21"/>
        </w:rPr>
      </w:pPr>
    </w:p>
    <w:p w14:paraId="5A618069" w14:textId="77777777" w:rsidR="00015079" w:rsidRDefault="009A666F" w:rsidP="00F00818">
      <w:pPr>
        <w:rPr>
          <w:szCs w:val="21"/>
        </w:rPr>
      </w:pPr>
      <w:r w:rsidRPr="00D9687A">
        <w:rPr>
          <w:szCs w:val="21"/>
        </w:rPr>
        <w:t xml:space="preserve">The </w:t>
      </w:r>
      <w:r w:rsidR="00F84E6B">
        <w:rPr>
          <w:szCs w:val="21"/>
        </w:rPr>
        <w:t>2,</w:t>
      </w:r>
      <w:r w:rsidR="00015079">
        <w:rPr>
          <w:szCs w:val="21"/>
        </w:rPr>
        <w:t>335</w:t>
      </w:r>
      <w:r w:rsidR="00F84E6B">
        <w:rPr>
          <w:szCs w:val="21"/>
        </w:rPr>
        <w:t xml:space="preserve"> </w:t>
      </w:r>
      <w:r w:rsidR="00090832">
        <w:rPr>
          <w:szCs w:val="21"/>
        </w:rPr>
        <w:t xml:space="preserve">new </w:t>
      </w:r>
      <w:r w:rsidR="00F84E6B">
        <w:rPr>
          <w:szCs w:val="21"/>
        </w:rPr>
        <w:t xml:space="preserve">listings in </w:t>
      </w:r>
      <w:r w:rsidR="00E85892">
        <w:rPr>
          <w:szCs w:val="21"/>
        </w:rPr>
        <w:t>May</w:t>
      </w:r>
      <w:r w:rsidR="00F84E6B">
        <w:rPr>
          <w:szCs w:val="21"/>
        </w:rPr>
        <w:t xml:space="preserve"> were the highest for </w:t>
      </w:r>
      <w:r w:rsidR="00E85892">
        <w:rPr>
          <w:szCs w:val="21"/>
        </w:rPr>
        <w:t>May</w:t>
      </w:r>
      <w:r w:rsidR="00F84E6B">
        <w:rPr>
          <w:szCs w:val="21"/>
        </w:rPr>
        <w:t xml:space="preserve"> since 202</w:t>
      </w:r>
      <w:r w:rsidR="00015079">
        <w:rPr>
          <w:szCs w:val="21"/>
        </w:rPr>
        <w:t>2, again, before they took a pause due to rising interest rates.</w:t>
      </w:r>
    </w:p>
    <w:p w14:paraId="297FDA87" w14:textId="77777777" w:rsidR="00015079" w:rsidRDefault="00015079" w:rsidP="00F00818">
      <w:pPr>
        <w:rPr>
          <w:szCs w:val="21"/>
        </w:rPr>
      </w:pPr>
    </w:p>
    <w:p w14:paraId="313F493A" w14:textId="13C99A04" w:rsidR="00015079" w:rsidRDefault="00015079" w:rsidP="00F00818">
      <w:r>
        <w:t>W</w:t>
      </w:r>
      <w:r>
        <w:t xml:space="preserve">e can gauge the demand and absorption of listings by examining the </w:t>
      </w:r>
      <w:r>
        <w:t>“days on market” (DOM)</w:t>
      </w:r>
      <w:r w:rsidR="006F747F">
        <w:t>;</w:t>
      </w:r>
      <w:r>
        <w:t xml:space="preserve"> the time between when a listing contract is signed to when a seller accepts an offer.</w:t>
      </w:r>
      <w:r w:rsidR="006F747F">
        <w:t xml:space="preserve"> </w:t>
      </w:r>
    </w:p>
    <w:p w14:paraId="2E5D213B" w14:textId="77777777" w:rsidR="006F747F" w:rsidRDefault="006F747F" w:rsidP="00F00818"/>
    <w:p w14:paraId="6D5697AA" w14:textId="797FBDD8" w:rsidR="006F747F" w:rsidRDefault="006F747F" w:rsidP="00F00818">
      <w:r>
        <w:t>In May 2026, DOM was 2</w:t>
      </w:r>
      <w:r>
        <w:t>0</w:t>
      </w:r>
      <w:r>
        <w:t xml:space="preserve"> days compared to 2</w:t>
      </w:r>
      <w:r>
        <w:t>1</w:t>
      </w:r>
      <w:r>
        <w:t xml:space="preserve"> days in 2025. DOM equal to six-months would be 180 days</w:t>
      </w:r>
      <w:r>
        <w:t xml:space="preserve">. </w:t>
      </w:r>
    </w:p>
    <w:p w14:paraId="283FA457" w14:textId="32E908B4" w:rsidR="006F747F" w:rsidRDefault="006F747F" w:rsidP="00F00818">
      <w:r>
        <w:lastRenderedPageBreak/>
        <w:t xml:space="preserve">The fact that DOM decreased by one day is not as significant as the fact that both are in the </w:t>
      </w:r>
      <w:r w:rsidR="004518CE">
        <w:t>twenties</w:t>
      </w:r>
      <w:r>
        <w:t xml:space="preserve">. </w:t>
      </w:r>
    </w:p>
    <w:p w14:paraId="715C940D" w14:textId="2D19F217" w:rsidR="006F747F" w:rsidRDefault="006F747F" w:rsidP="00F00818"/>
    <w:p w14:paraId="689B714B" w14:textId="2761F907" w:rsidR="002C52EF" w:rsidRDefault="000023B2" w:rsidP="00F00818">
      <w:r w:rsidRPr="00E85892">
        <w:drawing>
          <wp:anchor distT="0" distB="0" distL="114300" distR="114300" simplePos="0" relativeHeight="251678720" behindDoc="0" locked="0" layoutInCell="1" allowOverlap="1" wp14:anchorId="5C9096D9" wp14:editId="498CE9BE">
            <wp:simplePos x="0" y="0"/>
            <wp:positionH relativeFrom="column">
              <wp:posOffset>12700</wp:posOffset>
            </wp:positionH>
            <wp:positionV relativeFrom="paragraph">
              <wp:posOffset>108585</wp:posOffset>
            </wp:positionV>
            <wp:extent cx="4114800" cy="3089910"/>
            <wp:effectExtent l="0" t="0" r="0" b="0"/>
            <wp:wrapSquare wrapText="bothSides"/>
            <wp:docPr id="140761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13809" name=""/>
                    <pic:cNvPicPr/>
                  </pic:nvPicPr>
                  <pic:blipFill>
                    <a:blip r:embed="rId10">
                      <a:extLst>
                        <a:ext uri="{28A0092B-C50C-407E-A947-70E740481C1C}">
                          <a14:useLocalDpi xmlns:a14="http://schemas.microsoft.com/office/drawing/2010/main" val="0"/>
                        </a:ext>
                      </a:extLst>
                    </a:blip>
                    <a:stretch>
                      <a:fillRect/>
                    </a:stretch>
                  </pic:blipFill>
                  <pic:spPr>
                    <a:xfrm>
                      <a:off x="0" y="0"/>
                      <a:ext cx="4114800" cy="3089910"/>
                    </a:xfrm>
                    <a:prstGeom prst="rect">
                      <a:avLst/>
                    </a:prstGeom>
                  </pic:spPr>
                </pic:pic>
              </a:graphicData>
            </a:graphic>
            <wp14:sizeRelH relativeFrom="margin">
              <wp14:pctWidth>0</wp14:pctWidth>
            </wp14:sizeRelH>
            <wp14:sizeRelV relativeFrom="margin">
              <wp14:pctHeight>0</wp14:pctHeight>
            </wp14:sizeRelV>
          </wp:anchor>
        </w:drawing>
      </w:r>
      <w:r w:rsidR="002C52EF">
        <w:t xml:space="preserve">Due to additional listings being absorbed into the market almost immediately, there is no downward pressure on prices. Prices in the four-county area were up </w:t>
      </w:r>
      <w:r w:rsidR="006F747F">
        <w:t>6</w:t>
      </w:r>
      <w:r w:rsidR="00CA574D">
        <w:t>.</w:t>
      </w:r>
      <w:r w:rsidR="006F747F">
        <w:t>6</w:t>
      </w:r>
      <w:r w:rsidR="002C52EF">
        <w:t>%</w:t>
      </w:r>
      <w:r w:rsidR="006F747F">
        <w:t xml:space="preserve"> in May to $450,393</w:t>
      </w:r>
      <w:r w:rsidR="006E47E9">
        <w:t xml:space="preserve">. </w:t>
      </w:r>
    </w:p>
    <w:p w14:paraId="3A14ED45" w14:textId="0E7D78B6" w:rsidR="002C52EF" w:rsidRDefault="002C52EF" w:rsidP="00F00818"/>
    <w:p w14:paraId="7C673D9A" w14:textId="6CE0894C" w:rsidR="00DF7DFC" w:rsidRDefault="006F747F" w:rsidP="00DF7DFC">
      <w:r w:rsidRPr="002B3FB3">
        <w:rPr>
          <w:noProof/>
          <w:highlight w:val="yellow"/>
        </w:rPr>
        <w:drawing>
          <wp:anchor distT="0" distB="0" distL="0" distR="0" simplePos="0" relativeHeight="251679744" behindDoc="0" locked="0" layoutInCell="1" allowOverlap="1" wp14:anchorId="225105F8" wp14:editId="51D99F6B">
            <wp:simplePos x="0" y="0"/>
            <wp:positionH relativeFrom="column">
              <wp:posOffset>3804920</wp:posOffset>
            </wp:positionH>
            <wp:positionV relativeFrom="paragraph">
              <wp:posOffset>1205865</wp:posOffset>
            </wp:positionV>
            <wp:extent cx="365760" cy="480695"/>
            <wp:effectExtent l="0" t="0" r="0" b="0"/>
            <wp:wrapSquare wrapText="bothSides"/>
            <wp:docPr id="2" name="chart"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descr="A blue logo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31717" b="1"/>
                    <a:stretch/>
                  </pic:blipFill>
                  <pic:spPr bwMode="auto">
                    <a:xfrm>
                      <a:off x="0" y="0"/>
                      <a:ext cx="365760" cy="48069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7DFC">
        <w:t xml:space="preserve">With prices increasing and DOM extremely low, we can tell there is strong demand for homes. </w:t>
      </w:r>
      <w:r w:rsidR="00001ECE">
        <w:t xml:space="preserve">The current market has no shortage of buyers; instead, buyers are competing for too </w:t>
      </w:r>
      <w:r w:rsidR="00090832">
        <w:t xml:space="preserve">few </w:t>
      </w:r>
      <w:r w:rsidR="00001ECE">
        <w:t xml:space="preserve">listings. </w:t>
      </w:r>
    </w:p>
    <w:p w14:paraId="019E4EDF" w14:textId="77777777" w:rsidR="006F747F" w:rsidRDefault="006F747F" w:rsidP="00001ECE"/>
    <w:p w14:paraId="44CDEF02" w14:textId="2A1EB21F" w:rsidR="00001ECE" w:rsidRDefault="00001ECE" w:rsidP="00001ECE">
      <w:r>
        <w:t>The only effective way to ease current market conditions is to increase housing supply. Additional supply would help slow the pace of price increases though it would not cause prices to decline.</w:t>
      </w:r>
      <w:r w:rsidR="00465CFD">
        <w:t xml:space="preserve"> </w:t>
      </w:r>
    </w:p>
    <w:p w14:paraId="6D1D7F62" w14:textId="43E1952F" w:rsidR="00001ECE" w:rsidRDefault="00001ECE" w:rsidP="00001ECE"/>
    <w:p w14:paraId="2B56FD50" w14:textId="51C375BD" w:rsidR="00001ECE" w:rsidRDefault="00001ECE" w:rsidP="00001ECE">
      <w:r>
        <w:t>The market need</w:t>
      </w:r>
      <w:r w:rsidR="00090832">
        <w:t>ed</w:t>
      </w:r>
      <w:r>
        <w:t xml:space="preserve"> </w:t>
      </w:r>
      <w:r w:rsidR="00090832">
        <w:t>more than</w:t>
      </w:r>
      <w:r w:rsidR="00A40AFF">
        <w:t xml:space="preserve"> 8</w:t>
      </w:r>
      <w:r w:rsidR="00F3700A">
        <w:t>,000</w:t>
      </w:r>
      <w:r>
        <w:t xml:space="preserve"> </w:t>
      </w:r>
      <w:r w:rsidR="00090832">
        <w:t xml:space="preserve">total </w:t>
      </w:r>
      <w:r>
        <w:t xml:space="preserve">units to meet demand and allow price growth to moderate. However, in </w:t>
      </w:r>
      <w:r w:rsidR="00E85892">
        <w:t>May</w:t>
      </w:r>
      <w:r>
        <w:t xml:space="preserve"> there were only </w:t>
      </w:r>
      <w:r w:rsidR="00090832">
        <w:t>4,</w:t>
      </w:r>
      <w:r w:rsidR="006F747F">
        <w:t>835</w:t>
      </w:r>
      <w:r w:rsidR="00090832">
        <w:t xml:space="preserve"> active </w:t>
      </w:r>
      <w:r>
        <w:t>listings</w:t>
      </w:r>
      <w:r w:rsidR="00465CFD">
        <w:t xml:space="preserve"> </w:t>
      </w:r>
      <w:r w:rsidR="00F94E95">
        <w:t xml:space="preserve">resulting in a </w:t>
      </w:r>
      <w:r w:rsidR="004518CE">
        <w:t>3,735-unit</w:t>
      </w:r>
      <w:r w:rsidR="00090832">
        <w:t xml:space="preserve"> deficit. </w:t>
      </w:r>
    </w:p>
    <w:p w14:paraId="6F407628" w14:textId="77777777" w:rsidR="00CA574D" w:rsidRDefault="00CA574D" w:rsidP="00001ECE"/>
    <w:p w14:paraId="6C6A5D4A" w14:textId="22C723E7" w:rsidR="003244DA" w:rsidRPr="00985B7F" w:rsidRDefault="003244DA" w:rsidP="003244DA">
      <w:pPr>
        <w:pStyle w:val="ParagraphIntro"/>
      </w:pPr>
      <w:r w:rsidRPr="00985B7F">
        <w:t>Where to go</w:t>
      </w:r>
    </w:p>
    <w:p w14:paraId="4789C15D" w14:textId="77777777"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a REALTORS</w:t>
      </w:r>
      <w:r w:rsidRPr="00DC07EE">
        <w:rPr>
          <w:vertAlign w:val="superscript"/>
        </w:rPr>
        <w:t>®</w:t>
      </w:r>
      <w:r w:rsidRPr="00627017">
        <w:t xml:space="preserve"> expert advice in making correct marketing decisions </w:t>
      </w:r>
      <w:r>
        <w:t>for</w:t>
      </w:r>
      <w:r w:rsidRPr="00627017">
        <w:t xml:space="preserve"> their home.</w:t>
      </w:r>
    </w:p>
    <w:p w14:paraId="0ACBF2C4" w14:textId="77777777" w:rsidR="003244DA" w:rsidRPr="00627017" w:rsidRDefault="003244DA" w:rsidP="003244DA"/>
    <w:p w14:paraId="4D2D04D8" w14:textId="3BB29545"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w:t>
      </w:r>
      <w:r w:rsidR="00EC6CB8">
        <w:t>,</w:t>
      </w:r>
      <w:r w:rsidRPr="00627017">
        <w:t xml:space="preserve">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196026E5" w14:textId="77777777" w:rsidR="003244DA" w:rsidRPr="00627017" w:rsidRDefault="003244DA" w:rsidP="003244DA">
      <w:pPr>
        <w:spacing w:before="120" w:after="120"/>
        <w:ind w:left="-360" w:right="-360"/>
        <w:rPr>
          <w:rFonts w:ascii="Arial" w:hAnsi="Arial" w:cs="Arial"/>
          <w:sz w:val="24"/>
          <w:szCs w:val="24"/>
        </w:rPr>
      </w:pPr>
    </w:p>
    <w:p w14:paraId="18C0E614" w14:textId="77777777" w:rsidR="003244DA" w:rsidRPr="00627017" w:rsidRDefault="003244DA" w:rsidP="003244DA">
      <w:pPr>
        <w:spacing w:before="120" w:after="120"/>
        <w:ind w:left="-360" w:right="-360"/>
        <w:jc w:val="center"/>
        <w:rPr>
          <w:rFonts w:ascii="Arial" w:hAnsi="Arial" w:cs="Arial"/>
          <w:sz w:val="28"/>
          <w:szCs w:val="28"/>
        </w:rPr>
      </w:pPr>
      <w:r w:rsidRPr="00627017">
        <w:rPr>
          <w:rFonts w:ascii="Arial" w:hAnsi="Arial" w:cs="Arial"/>
          <w:b/>
          <w:bCs/>
          <w:sz w:val="28"/>
          <w:szCs w:val="28"/>
        </w:rPr>
        <w:t>*     *     *     *     *</w:t>
      </w:r>
    </w:p>
    <w:p w14:paraId="04B449FD" w14:textId="76A7201E" w:rsidR="002920FB" w:rsidRDefault="002920FB">
      <w:pPr>
        <w:spacing w:after="160" w:line="259" w:lineRule="auto"/>
        <w:contextualSpacing w:val="0"/>
        <w:rPr>
          <w:rFonts w:ascii="Arial" w:hAnsi="Arial" w:cs="Arial"/>
          <w:sz w:val="28"/>
          <w:szCs w:val="28"/>
        </w:rPr>
      </w:pPr>
      <w:r>
        <w:rPr>
          <w:rFonts w:ascii="Arial" w:hAnsi="Arial" w:cs="Arial"/>
          <w:sz w:val="28"/>
          <w:szCs w:val="28"/>
        </w:rPr>
        <w:br w:type="page"/>
      </w:r>
    </w:p>
    <w:p w14:paraId="57FA9B6E" w14:textId="7AD1462F" w:rsidR="00722A43" w:rsidRDefault="00E85892" w:rsidP="007C3470">
      <w:pPr>
        <w:spacing w:before="120" w:after="120" w:line="300" w:lineRule="auto"/>
        <w:ind w:left="-360" w:right="-360"/>
        <w:jc w:val="center"/>
        <w:rPr>
          <w:rFonts w:ascii="Arial" w:hAnsi="Arial" w:cs="Arial"/>
          <w:sz w:val="20"/>
          <w:szCs w:val="20"/>
        </w:rPr>
      </w:pPr>
      <w:r>
        <w:rPr>
          <w:noProof/>
        </w:rPr>
        <w:lastRenderedPageBreak/>
        <w:drawing>
          <wp:inline distT="0" distB="0" distL="0" distR="0" wp14:anchorId="497E7C59" wp14:editId="1475452A">
            <wp:extent cx="5645433" cy="3269685"/>
            <wp:effectExtent l="0" t="0" r="0" b="6985"/>
            <wp:docPr id="78538840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20DB25" w14:textId="77777777" w:rsidR="00E85892" w:rsidRDefault="00E85892" w:rsidP="007C3470">
      <w:pPr>
        <w:spacing w:before="120" w:after="120" w:line="300" w:lineRule="auto"/>
        <w:ind w:left="-360" w:right="-360"/>
        <w:jc w:val="center"/>
        <w:rPr>
          <w:rFonts w:ascii="Arial" w:hAnsi="Arial" w:cs="Arial"/>
          <w:sz w:val="20"/>
          <w:szCs w:val="20"/>
        </w:rPr>
      </w:pPr>
    </w:p>
    <w:p w14:paraId="110124F7" w14:textId="248F0B76" w:rsidR="00FE2AA3" w:rsidRDefault="00752249" w:rsidP="004E6698">
      <w:pPr>
        <w:spacing w:after="120" w:line="300" w:lineRule="auto"/>
      </w:pPr>
      <w:r w:rsidRPr="00E65D35">
        <w:t xml:space="preserve">Seasonally </w:t>
      </w:r>
      <w:r w:rsidR="0060287B" w:rsidRPr="00E65D35">
        <w:t xml:space="preserve">adjusted </w:t>
      </w:r>
      <w:r w:rsidR="0060287B" w:rsidRPr="00330618">
        <w:t>i</w:t>
      </w:r>
      <w:r w:rsidR="0060287B" w:rsidRPr="00330618">
        <w:rPr>
          <w:rStyle w:val="NormalCalloutText"/>
          <w:b w:val="0"/>
          <w:bCs w:val="0"/>
        </w:rPr>
        <w:t>nventory</w:t>
      </w:r>
      <w:r w:rsidR="0060287B" w:rsidRPr="00E65D35">
        <w:t xml:space="preserve"> tells us how many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level for </w:t>
      </w:r>
      <w:r w:rsidR="00E85892">
        <w:rPr>
          <w:rStyle w:val="NormalCalloutText"/>
        </w:rPr>
        <w:t>May</w:t>
      </w:r>
      <w:r w:rsidR="0060287B" w:rsidRPr="00F84C72">
        <w:rPr>
          <w:rStyle w:val="NormalCalloutText"/>
        </w:rPr>
        <w:t xml:space="preserve"> was </w:t>
      </w:r>
      <w:r w:rsidR="00130070">
        <w:rPr>
          <w:rStyle w:val="NormalCalloutText"/>
        </w:rPr>
        <w:t>3</w:t>
      </w:r>
      <w:r w:rsidR="002920FB">
        <w:rPr>
          <w:rStyle w:val="NormalCalloutText"/>
        </w:rPr>
        <w:t>.</w:t>
      </w:r>
      <w:r w:rsidR="00E85892">
        <w:rPr>
          <w:rStyle w:val="NormalCalloutText"/>
        </w:rPr>
        <w:t>4</w:t>
      </w:r>
      <w:r w:rsidR="0060287B" w:rsidRPr="00F84C72">
        <w:rPr>
          <w:rStyle w:val="NormalCalloutText"/>
        </w:rPr>
        <w:t xml:space="preserve"> month</w:t>
      </w:r>
      <w:r w:rsidR="00BD2F20">
        <w:rPr>
          <w:rStyle w:val="NormalCalloutText"/>
        </w:rPr>
        <w:t>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FE2AA3" w:rsidRPr="00D010BD">
        <w:t xml:space="preserve"> listings that have an “active offer” from those available for sale (about 80% of listings with an offer </w:t>
      </w:r>
      <w:r w:rsidR="004E6698">
        <w:t>sell</w:t>
      </w:r>
      <w:r w:rsidR="00FE2AA3" w:rsidRPr="00D010BD">
        <w:t>)</w:t>
      </w:r>
      <w:r w:rsidR="007562FC">
        <w:t xml:space="preserve"> </w:t>
      </w:r>
      <w:r w:rsidR="00FE2AA3" w:rsidRPr="00D010BD">
        <w:t xml:space="preserve">yields </w:t>
      </w:r>
      <w:r w:rsidR="009445DA">
        <w:rPr>
          <w:b/>
          <w:bCs/>
          <w:color w:val="203058"/>
        </w:rPr>
        <w:t>3</w:t>
      </w:r>
      <w:r w:rsidR="00160B50">
        <w:rPr>
          <w:b/>
          <w:bCs/>
          <w:color w:val="203058"/>
        </w:rPr>
        <w:t>,</w:t>
      </w:r>
      <w:r w:rsidR="00E85892">
        <w:rPr>
          <w:b/>
          <w:bCs/>
          <w:color w:val="203058"/>
        </w:rPr>
        <w:t>781</w:t>
      </w:r>
      <w:r w:rsidR="00FE2AA3" w:rsidRPr="00F84C72">
        <w:rPr>
          <w:rStyle w:val="NormalCalloutText"/>
        </w:rPr>
        <w:t xml:space="preserve"> listings, which equals </w:t>
      </w:r>
      <w:r w:rsidR="00082AAF">
        <w:rPr>
          <w:rStyle w:val="NormalCalloutText"/>
        </w:rPr>
        <w:t>1</w:t>
      </w:r>
      <w:r w:rsidR="00E31F8C">
        <w:rPr>
          <w:rStyle w:val="NormalCalloutText"/>
        </w:rPr>
        <w:t>.</w:t>
      </w:r>
      <w:r w:rsidR="00E85892">
        <w:rPr>
          <w:rStyle w:val="NormalCalloutText"/>
        </w:rPr>
        <w:t>4</w:t>
      </w:r>
      <w:r w:rsidR="00FE2AA3" w:rsidRPr="00F84C72">
        <w:rPr>
          <w:rStyle w:val="NormalCalloutText"/>
        </w:rPr>
        <w:t xml:space="preserve"> month</w:t>
      </w:r>
      <w:r w:rsidR="00C960B7">
        <w:rPr>
          <w:rStyle w:val="NormalCalloutText"/>
        </w:rPr>
        <w:t>s</w:t>
      </w:r>
      <w:r w:rsidR="00FE2AA3" w:rsidRPr="00F84C72">
        <w:rPr>
          <w:rStyle w:val="NormalCalloutText"/>
        </w:rPr>
        <w:t xml:space="preserve"> of inventory.</w:t>
      </w:r>
      <w:r w:rsidR="00E31F8C">
        <w:rPr>
          <w:rStyle w:val="NormalCalloutText"/>
        </w:rPr>
        <w:t xml:space="preserve"> </w:t>
      </w:r>
    </w:p>
    <w:p w14:paraId="1A667C1A" w14:textId="77777777" w:rsidR="009E2F8C" w:rsidRDefault="009E2F8C" w:rsidP="00716F12">
      <w:pPr>
        <w:spacing w:before="120" w:after="120"/>
        <w:jc w:val="center"/>
      </w:pPr>
    </w:p>
    <w:p w14:paraId="53C91D88" w14:textId="681823DD" w:rsidR="00FE2AA3" w:rsidRDefault="00E85892" w:rsidP="00BB3FAF">
      <w:pPr>
        <w:spacing w:before="120" w:after="120"/>
        <w:jc w:val="center"/>
      </w:pPr>
      <w:r>
        <w:rPr>
          <w:noProof/>
        </w:rPr>
        <w:drawing>
          <wp:inline distT="0" distB="0" distL="0" distR="0" wp14:anchorId="0124CA8D" wp14:editId="7B7B40F6">
            <wp:extent cx="5569796" cy="3040098"/>
            <wp:effectExtent l="0" t="0" r="0" b="8255"/>
            <wp:docPr id="1296885893"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09699B" w14:textId="77777777" w:rsidR="0087289E" w:rsidRDefault="0087289E" w:rsidP="00716F12">
      <w:pPr>
        <w:spacing w:before="120" w:after="120" w:line="300" w:lineRule="auto"/>
      </w:pPr>
    </w:p>
    <w:p w14:paraId="1D6F4749" w14:textId="5E8C455D" w:rsidR="00D848BE" w:rsidRPr="00082AAF" w:rsidRDefault="004E6698" w:rsidP="00130070">
      <w:pPr>
        <w:spacing w:before="120" w:after="120" w:line="300" w:lineRule="auto"/>
        <w:rPr>
          <w:rFonts w:ascii="Arial" w:hAnsi="Arial" w:cs="Arial"/>
          <w:sz w:val="20"/>
          <w:szCs w:val="20"/>
        </w:rPr>
      </w:pPr>
      <w:r w:rsidRPr="00E65D35">
        <w:t xml:space="preserve">With </w:t>
      </w:r>
      <w:r w:rsidR="009445DA">
        <w:t>4</w:t>
      </w:r>
      <w:r w:rsidR="00C960B7">
        <w:t>,</w:t>
      </w:r>
      <w:r w:rsidR="00E85892">
        <w:t>835</w:t>
      </w:r>
      <w:r w:rsidRPr="00E65D35">
        <w:t xml:space="preserve"> current listings providing </w:t>
      </w:r>
      <w:r w:rsidR="00130070">
        <w:t>3</w:t>
      </w:r>
      <w:r w:rsidR="00330618">
        <w:t>.</w:t>
      </w:r>
      <w:r w:rsidR="00E85892">
        <w:t>4</w:t>
      </w:r>
      <w:r w:rsidRPr="00E65D35">
        <w:t xml:space="preserve"> months of inventory, </w:t>
      </w:r>
      <w:r w:rsidRPr="00E65D35">
        <w:rPr>
          <w:rStyle w:val="NormalCalloutText"/>
        </w:rPr>
        <w:t>the market would need an</w:t>
      </w:r>
      <w:r w:rsidRPr="00F84C72">
        <w:rPr>
          <w:rStyle w:val="NormalCalloutText"/>
        </w:rPr>
        <w:t xml:space="preserve"> additional </w:t>
      </w:r>
      <w:r w:rsidR="00130070">
        <w:rPr>
          <w:rStyle w:val="NormalCalloutText"/>
        </w:rPr>
        <w:t>3</w:t>
      </w:r>
      <w:r w:rsidRPr="00F84C72">
        <w:rPr>
          <w:rStyle w:val="NormalCalloutText"/>
        </w:rPr>
        <w:t>,</w:t>
      </w:r>
      <w:r w:rsidR="00E85892">
        <w:rPr>
          <w:rStyle w:val="NormalCalloutText"/>
        </w:rPr>
        <w:t>735</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is considered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sectPr w:rsidR="00D848BE" w:rsidRPr="00082AAF" w:rsidSect="00451758">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BCAC" w14:textId="77777777" w:rsidR="002C1ED3" w:rsidRDefault="002C1ED3" w:rsidP="003B327A">
      <w:r>
        <w:separator/>
      </w:r>
    </w:p>
  </w:endnote>
  <w:endnote w:type="continuationSeparator" w:id="0">
    <w:p w14:paraId="1B2BE63D" w14:textId="77777777" w:rsidR="002C1ED3" w:rsidRDefault="002C1ED3"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0129"/>
      <w:docPartObj>
        <w:docPartGallery w:val="Page Numbers (Bottom of Page)"/>
        <w:docPartUnique/>
      </w:docPartObj>
    </w:sdtPr>
    <w:sdtEndPr>
      <w:rPr>
        <w:rStyle w:val="PageNumber"/>
      </w:rPr>
    </w:sdtEnd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EndPr>
      <w:rPr>
        <w:rStyle w:val="PageNumber"/>
      </w:rPr>
    </w:sdtEnd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b/>
        <w:bCs/>
        <w:sz w:val="16"/>
        <w:szCs w:val="16"/>
      </w:rPr>
      <w:id w:val="1011573456"/>
      <w:docPartObj>
        <w:docPartGallery w:val="Page Numbers (Bottom of Page)"/>
        <w:docPartUnique/>
      </w:docPartObj>
    </w:sdtPr>
    <w:sdtEndPr>
      <w:rPr>
        <w:rStyle w:val="PageNumber"/>
      </w:rPr>
    </w:sdtEnd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1161512369" name="Picture 116151236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1704746508" name="Picture 170474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D358" w14:textId="77777777" w:rsidR="002C1ED3" w:rsidRDefault="002C1ED3" w:rsidP="003B327A">
      <w:r>
        <w:separator/>
      </w:r>
    </w:p>
  </w:footnote>
  <w:footnote w:type="continuationSeparator" w:id="0">
    <w:p w14:paraId="68607812" w14:textId="77777777" w:rsidR="002C1ED3" w:rsidRDefault="002C1ED3"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305925"/>
      <w:docPartObj>
        <w:docPartGallery w:val="Page Numbers (Top of Page)"/>
        <w:docPartUnique/>
      </w:docPartObj>
    </w:sdtPr>
    <w:sdtEndPr>
      <w:rPr>
        <w:rStyle w:val="PageNumber"/>
      </w:rPr>
    </w:sdtEnd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846249065" name="Picture 184624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173622832" name="Picture 17362283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04DC"/>
    <w:rsid w:val="000008FC"/>
    <w:rsid w:val="00001ECE"/>
    <w:rsid w:val="000023B2"/>
    <w:rsid w:val="00002A09"/>
    <w:rsid w:val="000032B0"/>
    <w:rsid w:val="0000535B"/>
    <w:rsid w:val="00010A1A"/>
    <w:rsid w:val="00013AC8"/>
    <w:rsid w:val="00015079"/>
    <w:rsid w:val="0001575D"/>
    <w:rsid w:val="00015D53"/>
    <w:rsid w:val="00017D91"/>
    <w:rsid w:val="000231FD"/>
    <w:rsid w:val="00025E65"/>
    <w:rsid w:val="00026FC5"/>
    <w:rsid w:val="00027002"/>
    <w:rsid w:val="00027936"/>
    <w:rsid w:val="000359A8"/>
    <w:rsid w:val="000418A7"/>
    <w:rsid w:val="00041F41"/>
    <w:rsid w:val="00043760"/>
    <w:rsid w:val="00045DDB"/>
    <w:rsid w:val="000478F6"/>
    <w:rsid w:val="00050D04"/>
    <w:rsid w:val="00050EC7"/>
    <w:rsid w:val="00057F91"/>
    <w:rsid w:val="000643AB"/>
    <w:rsid w:val="000666AB"/>
    <w:rsid w:val="000711F9"/>
    <w:rsid w:val="00074D33"/>
    <w:rsid w:val="00075CB8"/>
    <w:rsid w:val="00080E07"/>
    <w:rsid w:val="0008180B"/>
    <w:rsid w:val="00081B02"/>
    <w:rsid w:val="00082AAF"/>
    <w:rsid w:val="000834B8"/>
    <w:rsid w:val="00083B67"/>
    <w:rsid w:val="00084A59"/>
    <w:rsid w:val="00085C75"/>
    <w:rsid w:val="00086B75"/>
    <w:rsid w:val="000871EE"/>
    <w:rsid w:val="00087232"/>
    <w:rsid w:val="00090832"/>
    <w:rsid w:val="00092126"/>
    <w:rsid w:val="000927A7"/>
    <w:rsid w:val="0009739A"/>
    <w:rsid w:val="000A01E3"/>
    <w:rsid w:val="000A2CE6"/>
    <w:rsid w:val="000A3217"/>
    <w:rsid w:val="000A4141"/>
    <w:rsid w:val="000A54B9"/>
    <w:rsid w:val="000A7132"/>
    <w:rsid w:val="000A7A27"/>
    <w:rsid w:val="000B471A"/>
    <w:rsid w:val="000B7E8B"/>
    <w:rsid w:val="000C0358"/>
    <w:rsid w:val="000C5D86"/>
    <w:rsid w:val="000D0E85"/>
    <w:rsid w:val="000D4375"/>
    <w:rsid w:val="000E0548"/>
    <w:rsid w:val="000E14E4"/>
    <w:rsid w:val="000E4CD9"/>
    <w:rsid w:val="000E646C"/>
    <w:rsid w:val="000E6502"/>
    <w:rsid w:val="000F21F9"/>
    <w:rsid w:val="0010266B"/>
    <w:rsid w:val="00105A82"/>
    <w:rsid w:val="00107E28"/>
    <w:rsid w:val="001104B3"/>
    <w:rsid w:val="001111CB"/>
    <w:rsid w:val="00112D8F"/>
    <w:rsid w:val="00120709"/>
    <w:rsid w:val="001225DE"/>
    <w:rsid w:val="00122DEE"/>
    <w:rsid w:val="00123E7A"/>
    <w:rsid w:val="00124A77"/>
    <w:rsid w:val="00125C6C"/>
    <w:rsid w:val="00127EF0"/>
    <w:rsid w:val="00130070"/>
    <w:rsid w:val="001312C0"/>
    <w:rsid w:val="00132D71"/>
    <w:rsid w:val="00133D00"/>
    <w:rsid w:val="00137528"/>
    <w:rsid w:val="001379FD"/>
    <w:rsid w:val="00144B86"/>
    <w:rsid w:val="001450E3"/>
    <w:rsid w:val="00146897"/>
    <w:rsid w:val="00151841"/>
    <w:rsid w:val="001530AA"/>
    <w:rsid w:val="00153E0D"/>
    <w:rsid w:val="00156337"/>
    <w:rsid w:val="00157115"/>
    <w:rsid w:val="00160B50"/>
    <w:rsid w:val="0016242D"/>
    <w:rsid w:val="00162A57"/>
    <w:rsid w:val="00166452"/>
    <w:rsid w:val="00167120"/>
    <w:rsid w:val="001710C0"/>
    <w:rsid w:val="00172794"/>
    <w:rsid w:val="00172E7E"/>
    <w:rsid w:val="00176044"/>
    <w:rsid w:val="00176BAD"/>
    <w:rsid w:val="00177CCC"/>
    <w:rsid w:val="001813B3"/>
    <w:rsid w:val="00183378"/>
    <w:rsid w:val="00183446"/>
    <w:rsid w:val="00183C62"/>
    <w:rsid w:val="001865ED"/>
    <w:rsid w:val="00190964"/>
    <w:rsid w:val="001928B3"/>
    <w:rsid w:val="00192A0B"/>
    <w:rsid w:val="001A060A"/>
    <w:rsid w:val="001A5F8A"/>
    <w:rsid w:val="001B41B1"/>
    <w:rsid w:val="001B4CFE"/>
    <w:rsid w:val="001B610A"/>
    <w:rsid w:val="001C2406"/>
    <w:rsid w:val="001C2B1D"/>
    <w:rsid w:val="001C3C25"/>
    <w:rsid w:val="001C3CE4"/>
    <w:rsid w:val="001C62A3"/>
    <w:rsid w:val="001D27D9"/>
    <w:rsid w:val="001D3B48"/>
    <w:rsid w:val="001D7B23"/>
    <w:rsid w:val="001E02BA"/>
    <w:rsid w:val="001E101E"/>
    <w:rsid w:val="001F0911"/>
    <w:rsid w:val="001F1FB1"/>
    <w:rsid w:val="001F245E"/>
    <w:rsid w:val="001F5CBD"/>
    <w:rsid w:val="001F7017"/>
    <w:rsid w:val="00205183"/>
    <w:rsid w:val="0020568A"/>
    <w:rsid w:val="00207323"/>
    <w:rsid w:val="002114BD"/>
    <w:rsid w:val="00211BC4"/>
    <w:rsid w:val="00214D42"/>
    <w:rsid w:val="002156E5"/>
    <w:rsid w:val="00215C52"/>
    <w:rsid w:val="002228CD"/>
    <w:rsid w:val="00225E0C"/>
    <w:rsid w:val="00226695"/>
    <w:rsid w:val="002268AB"/>
    <w:rsid w:val="002274F3"/>
    <w:rsid w:val="002311B5"/>
    <w:rsid w:val="00232416"/>
    <w:rsid w:val="0023346D"/>
    <w:rsid w:val="002369FD"/>
    <w:rsid w:val="00241968"/>
    <w:rsid w:val="00244D23"/>
    <w:rsid w:val="0025010A"/>
    <w:rsid w:val="00254EA2"/>
    <w:rsid w:val="00254F9F"/>
    <w:rsid w:val="00257E75"/>
    <w:rsid w:val="00260189"/>
    <w:rsid w:val="00261855"/>
    <w:rsid w:val="0026256A"/>
    <w:rsid w:val="00270176"/>
    <w:rsid w:val="00270753"/>
    <w:rsid w:val="00276DCA"/>
    <w:rsid w:val="00277C91"/>
    <w:rsid w:val="00277DD7"/>
    <w:rsid w:val="00284B0C"/>
    <w:rsid w:val="00284EF5"/>
    <w:rsid w:val="002853E5"/>
    <w:rsid w:val="002864B3"/>
    <w:rsid w:val="002920FB"/>
    <w:rsid w:val="0029714D"/>
    <w:rsid w:val="002A14D2"/>
    <w:rsid w:val="002A41E2"/>
    <w:rsid w:val="002A5E81"/>
    <w:rsid w:val="002A6B1C"/>
    <w:rsid w:val="002A78ED"/>
    <w:rsid w:val="002B1788"/>
    <w:rsid w:val="002B46F0"/>
    <w:rsid w:val="002B5840"/>
    <w:rsid w:val="002C0AE4"/>
    <w:rsid w:val="002C12CA"/>
    <w:rsid w:val="002C1ED3"/>
    <w:rsid w:val="002C412A"/>
    <w:rsid w:val="002C52EF"/>
    <w:rsid w:val="002C639C"/>
    <w:rsid w:val="002D0230"/>
    <w:rsid w:val="002E3801"/>
    <w:rsid w:val="002E391A"/>
    <w:rsid w:val="002E40D8"/>
    <w:rsid w:val="002E74EB"/>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3059A"/>
    <w:rsid w:val="00330618"/>
    <w:rsid w:val="00331633"/>
    <w:rsid w:val="0033168B"/>
    <w:rsid w:val="003343A9"/>
    <w:rsid w:val="00334E67"/>
    <w:rsid w:val="00347CC9"/>
    <w:rsid w:val="00350097"/>
    <w:rsid w:val="00350E1C"/>
    <w:rsid w:val="00352251"/>
    <w:rsid w:val="00353589"/>
    <w:rsid w:val="00353725"/>
    <w:rsid w:val="00354473"/>
    <w:rsid w:val="003639E9"/>
    <w:rsid w:val="00365D98"/>
    <w:rsid w:val="003724B8"/>
    <w:rsid w:val="00373C96"/>
    <w:rsid w:val="00376BA5"/>
    <w:rsid w:val="00377E8C"/>
    <w:rsid w:val="00377E9E"/>
    <w:rsid w:val="00380FF7"/>
    <w:rsid w:val="0038324D"/>
    <w:rsid w:val="00383620"/>
    <w:rsid w:val="003878AF"/>
    <w:rsid w:val="00393E99"/>
    <w:rsid w:val="00395028"/>
    <w:rsid w:val="0039613C"/>
    <w:rsid w:val="003A6347"/>
    <w:rsid w:val="003B1886"/>
    <w:rsid w:val="003B3214"/>
    <w:rsid w:val="003B327A"/>
    <w:rsid w:val="003C282B"/>
    <w:rsid w:val="003C3E5E"/>
    <w:rsid w:val="003C5FD7"/>
    <w:rsid w:val="003E46BA"/>
    <w:rsid w:val="003F0A1B"/>
    <w:rsid w:val="003F403D"/>
    <w:rsid w:val="003F59E1"/>
    <w:rsid w:val="003F62F0"/>
    <w:rsid w:val="0040188A"/>
    <w:rsid w:val="00401E93"/>
    <w:rsid w:val="00402253"/>
    <w:rsid w:val="00402A91"/>
    <w:rsid w:val="004036BD"/>
    <w:rsid w:val="00407D21"/>
    <w:rsid w:val="00416329"/>
    <w:rsid w:val="00416DF0"/>
    <w:rsid w:val="004204E0"/>
    <w:rsid w:val="004217B7"/>
    <w:rsid w:val="00424608"/>
    <w:rsid w:val="00430E07"/>
    <w:rsid w:val="0043444E"/>
    <w:rsid w:val="00434612"/>
    <w:rsid w:val="00435320"/>
    <w:rsid w:val="00436BD9"/>
    <w:rsid w:val="00437958"/>
    <w:rsid w:val="00437E34"/>
    <w:rsid w:val="0044014E"/>
    <w:rsid w:val="00440264"/>
    <w:rsid w:val="004433DB"/>
    <w:rsid w:val="00445F1E"/>
    <w:rsid w:val="00450916"/>
    <w:rsid w:val="00451758"/>
    <w:rsid w:val="004518CE"/>
    <w:rsid w:val="00460083"/>
    <w:rsid w:val="00460A09"/>
    <w:rsid w:val="004616F1"/>
    <w:rsid w:val="0046205A"/>
    <w:rsid w:val="004635F0"/>
    <w:rsid w:val="00465A20"/>
    <w:rsid w:val="00465CFD"/>
    <w:rsid w:val="00465F52"/>
    <w:rsid w:val="00470AB1"/>
    <w:rsid w:val="0047433E"/>
    <w:rsid w:val="00474ECB"/>
    <w:rsid w:val="00476AA0"/>
    <w:rsid w:val="00481980"/>
    <w:rsid w:val="00482F01"/>
    <w:rsid w:val="0048406D"/>
    <w:rsid w:val="0049421B"/>
    <w:rsid w:val="004A1A6C"/>
    <w:rsid w:val="004A40D2"/>
    <w:rsid w:val="004A5A2A"/>
    <w:rsid w:val="004A5FC1"/>
    <w:rsid w:val="004B1439"/>
    <w:rsid w:val="004B1C64"/>
    <w:rsid w:val="004B2A09"/>
    <w:rsid w:val="004B2A93"/>
    <w:rsid w:val="004C7E31"/>
    <w:rsid w:val="004D52E3"/>
    <w:rsid w:val="004E6698"/>
    <w:rsid w:val="004E6E55"/>
    <w:rsid w:val="004E7EEF"/>
    <w:rsid w:val="004F08C0"/>
    <w:rsid w:val="004F2090"/>
    <w:rsid w:val="004F4D5B"/>
    <w:rsid w:val="00503E46"/>
    <w:rsid w:val="0050657D"/>
    <w:rsid w:val="00510938"/>
    <w:rsid w:val="00513B1A"/>
    <w:rsid w:val="0051489E"/>
    <w:rsid w:val="005160A6"/>
    <w:rsid w:val="005170D2"/>
    <w:rsid w:val="0052049F"/>
    <w:rsid w:val="005215D6"/>
    <w:rsid w:val="00521E94"/>
    <w:rsid w:val="00526EFF"/>
    <w:rsid w:val="005335BE"/>
    <w:rsid w:val="00534803"/>
    <w:rsid w:val="00534DD3"/>
    <w:rsid w:val="0054105F"/>
    <w:rsid w:val="0054195F"/>
    <w:rsid w:val="00542FF4"/>
    <w:rsid w:val="00545C01"/>
    <w:rsid w:val="005460CE"/>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12FE"/>
    <w:rsid w:val="00591C7A"/>
    <w:rsid w:val="00593670"/>
    <w:rsid w:val="0059459C"/>
    <w:rsid w:val="0059620F"/>
    <w:rsid w:val="005A167E"/>
    <w:rsid w:val="005B5396"/>
    <w:rsid w:val="005C1A84"/>
    <w:rsid w:val="005C25E4"/>
    <w:rsid w:val="005C3BB5"/>
    <w:rsid w:val="005C4AF7"/>
    <w:rsid w:val="005C581B"/>
    <w:rsid w:val="005C5E3F"/>
    <w:rsid w:val="005C65B2"/>
    <w:rsid w:val="005D0C58"/>
    <w:rsid w:val="005D4112"/>
    <w:rsid w:val="005D6400"/>
    <w:rsid w:val="005E4C81"/>
    <w:rsid w:val="005F3908"/>
    <w:rsid w:val="00602021"/>
    <w:rsid w:val="0060287B"/>
    <w:rsid w:val="00603A94"/>
    <w:rsid w:val="00607B60"/>
    <w:rsid w:val="00612A0E"/>
    <w:rsid w:val="006146B0"/>
    <w:rsid w:val="006200A6"/>
    <w:rsid w:val="00620A04"/>
    <w:rsid w:val="006213F9"/>
    <w:rsid w:val="00623E52"/>
    <w:rsid w:val="006247E9"/>
    <w:rsid w:val="00627017"/>
    <w:rsid w:val="00627F72"/>
    <w:rsid w:val="0063404B"/>
    <w:rsid w:val="00636212"/>
    <w:rsid w:val="0064142B"/>
    <w:rsid w:val="006416AF"/>
    <w:rsid w:val="006459E3"/>
    <w:rsid w:val="00645AD0"/>
    <w:rsid w:val="0065300F"/>
    <w:rsid w:val="00654B2A"/>
    <w:rsid w:val="00656C73"/>
    <w:rsid w:val="00657358"/>
    <w:rsid w:val="00657D2E"/>
    <w:rsid w:val="00662485"/>
    <w:rsid w:val="006626BD"/>
    <w:rsid w:val="00667F9C"/>
    <w:rsid w:val="0067111B"/>
    <w:rsid w:val="00673F45"/>
    <w:rsid w:val="00681DC8"/>
    <w:rsid w:val="006836E9"/>
    <w:rsid w:val="00690E70"/>
    <w:rsid w:val="00694286"/>
    <w:rsid w:val="00695184"/>
    <w:rsid w:val="00697541"/>
    <w:rsid w:val="006A0D96"/>
    <w:rsid w:val="006A4D33"/>
    <w:rsid w:val="006B0D8F"/>
    <w:rsid w:val="006C0A4A"/>
    <w:rsid w:val="006C630A"/>
    <w:rsid w:val="006D06AC"/>
    <w:rsid w:val="006D13A0"/>
    <w:rsid w:val="006D176A"/>
    <w:rsid w:val="006D195E"/>
    <w:rsid w:val="006D1DE2"/>
    <w:rsid w:val="006D22A4"/>
    <w:rsid w:val="006D2AF9"/>
    <w:rsid w:val="006D3772"/>
    <w:rsid w:val="006D54A8"/>
    <w:rsid w:val="006D6799"/>
    <w:rsid w:val="006E0511"/>
    <w:rsid w:val="006E0DB1"/>
    <w:rsid w:val="006E47E9"/>
    <w:rsid w:val="006E60DF"/>
    <w:rsid w:val="006F747F"/>
    <w:rsid w:val="006F7E40"/>
    <w:rsid w:val="00701269"/>
    <w:rsid w:val="00704C25"/>
    <w:rsid w:val="0070562B"/>
    <w:rsid w:val="00716F12"/>
    <w:rsid w:val="00717D51"/>
    <w:rsid w:val="007214B3"/>
    <w:rsid w:val="00721F71"/>
    <w:rsid w:val="00722A43"/>
    <w:rsid w:val="0073360C"/>
    <w:rsid w:val="00736B38"/>
    <w:rsid w:val="0073717C"/>
    <w:rsid w:val="00737429"/>
    <w:rsid w:val="0074260B"/>
    <w:rsid w:val="00742C85"/>
    <w:rsid w:val="00745FF8"/>
    <w:rsid w:val="00750CD9"/>
    <w:rsid w:val="00752041"/>
    <w:rsid w:val="00752249"/>
    <w:rsid w:val="00754539"/>
    <w:rsid w:val="00754753"/>
    <w:rsid w:val="00754FD0"/>
    <w:rsid w:val="007562FC"/>
    <w:rsid w:val="00761F56"/>
    <w:rsid w:val="00770D40"/>
    <w:rsid w:val="0077154C"/>
    <w:rsid w:val="0077361B"/>
    <w:rsid w:val="00775F51"/>
    <w:rsid w:val="00777721"/>
    <w:rsid w:val="00780AA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6319"/>
    <w:rsid w:val="007C7D8C"/>
    <w:rsid w:val="007D09D8"/>
    <w:rsid w:val="007D4724"/>
    <w:rsid w:val="007E0B53"/>
    <w:rsid w:val="007E15E0"/>
    <w:rsid w:val="007E44AB"/>
    <w:rsid w:val="007E5323"/>
    <w:rsid w:val="007F6B5D"/>
    <w:rsid w:val="00800766"/>
    <w:rsid w:val="0080131C"/>
    <w:rsid w:val="00801B2E"/>
    <w:rsid w:val="00805843"/>
    <w:rsid w:val="00805CC5"/>
    <w:rsid w:val="0080655E"/>
    <w:rsid w:val="008107AA"/>
    <w:rsid w:val="00813045"/>
    <w:rsid w:val="008130DA"/>
    <w:rsid w:val="00815481"/>
    <w:rsid w:val="00815BC2"/>
    <w:rsid w:val="0081666B"/>
    <w:rsid w:val="00817377"/>
    <w:rsid w:val="00820C93"/>
    <w:rsid w:val="00822622"/>
    <w:rsid w:val="00831E2B"/>
    <w:rsid w:val="00832D28"/>
    <w:rsid w:val="0083681A"/>
    <w:rsid w:val="00847102"/>
    <w:rsid w:val="00853C6E"/>
    <w:rsid w:val="00857CA5"/>
    <w:rsid w:val="00867510"/>
    <w:rsid w:val="00871C1A"/>
    <w:rsid w:val="0087201F"/>
    <w:rsid w:val="0087289E"/>
    <w:rsid w:val="00874408"/>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C1EA3"/>
    <w:rsid w:val="008C345B"/>
    <w:rsid w:val="008C6F6A"/>
    <w:rsid w:val="008D024B"/>
    <w:rsid w:val="008D2730"/>
    <w:rsid w:val="008D51A0"/>
    <w:rsid w:val="008D5219"/>
    <w:rsid w:val="008E494E"/>
    <w:rsid w:val="008E64A6"/>
    <w:rsid w:val="008F12C5"/>
    <w:rsid w:val="008F15EA"/>
    <w:rsid w:val="008F46A7"/>
    <w:rsid w:val="008F7E2F"/>
    <w:rsid w:val="00900DBC"/>
    <w:rsid w:val="00912FB8"/>
    <w:rsid w:val="00913F14"/>
    <w:rsid w:val="00915E05"/>
    <w:rsid w:val="0091767C"/>
    <w:rsid w:val="0092034A"/>
    <w:rsid w:val="00921DBE"/>
    <w:rsid w:val="0092306F"/>
    <w:rsid w:val="009256C4"/>
    <w:rsid w:val="009303A0"/>
    <w:rsid w:val="0093743F"/>
    <w:rsid w:val="009375FE"/>
    <w:rsid w:val="009407A1"/>
    <w:rsid w:val="009445DA"/>
    <w:rsid w:val="00945145"/>
    <w:rsid w:val="00945C7F"/>
    <w:rsid w:val="00946D4A"/>
    <w:rsid w:val="00950D76"/>
    <w:rsid w:val="00951888"/>
    <w:rsid w:val="009538E1"/>
    <w:rsid w:val="00953B8C"/>
    <w:rsid w:val="00953F34"/>
    <w:rsid w:val="00954C2D"/>
    <w:rsid w:val="00956623"/>
    <w:rsid w:val="00956B75"/>
    <w:rsid w:val="00957AA6"/>
    <w:rsid w:val="00960659"/>
    <w:rsid w:val="00961059"/>
    <w:rsid w:val="00963F94"/>
    <w:rsid w:val="00965378"/>
    <w:rsid w:val="0096573C"/>
    <w:rsid w:val="00966533"/>
    <w:rsid w:val="0096778F"/>
    <w:rsid w:val="0096795D"/>
    <w:rsid w:val="00973EEB"/>
    <w:rsid w:val="009745D6"/>
    <w:rsid w:val="00977AE7"/>
    <w:rsid w:val="0098015D"/>
    <w:rsid w:val="009802F1"/>
    <w:rsid w:val="00981675"/>
    <w:rsid w:val="00985B7F"/>
    <w:rsid w:val="00986E1D"/>
    <w:rsid w:val="00992EDE"/>
    <w:rsid w:val="00996601"/>
    <w:rsid w:val="00996A8C"/>
    <w:rsid w:val="00997937"/>
    <w:rsid w:val="009A03F9"/>
    <w:rsid w:val="009A3885"/>
    <w:rsid w:val="009A4FA7"/>
    <w:rsid w:val="009A6291"/>
    <w:rsid w:val="009A6579"/>
    <w:rsid w:val="009A666F"/>
    <w:rsid w:val="009B0737"/>
    <w:rsid w:val="009B0D6E"/>
    <w:rsid w:val="009B1B42"/>
    <w:rsid w:val="009B2887"/>
    <w:rsid w:val="009B6FCA"/>
    <w:rsid w:val="009B7675"/>
    <w:rsid w:val="009C29B1"/>
    <w:rsid w:val="009C3D50"/>
    <w:rsid w:val="009C6EA8"/>
    <w:rsid w:val="009D180F"/>
    <w:rsid w:val="009D2241"/>
    <w:rsid w:val="009D4F89"/>
    <w:rsid w:val="009D6996"/>
    <w:rsid w:val="009E2F8C"/>
    <w:rsid w:val="009E4BB1"/>
    <w:rsid w:val="009E6AC3"/>
    <w:rsid w:val="009F1F68"/>
    <w:rsid w:val="009F21C4"/>
    <w:rsid w:val="009F23EF"/>
    <w:rsid w:val="009F28D2"/>
    <w:rsid w:val="00A017CA"/>
    <w:rsid w:val="00A10126"/>
    <w:rsid w:val="00A139C9"/>
    <w:rsid w:val="00A1782B"/>
    <w:rsid w:val="00A2068E"/>
    <w:rsid w:val="00A2088C"/>
    <w:rsid w:val="00A2539A"/>
    <w:rsid w:val="00A25A48"/>
    <w:rsid w:val="00A35390"/>
    <w:rsid w:val="00A3559A"/>
    <w:rsid w:val="00A358FD"/>
    <w:rsid w:val="00A35EE2"/>
    <w:rsid w:val="00A364ED"/>
    <w:rsid w:val="00A37F31"/>
    <w:rsid w:val="00A40AFF"/>
    <w:rsid w:val="00A41720"/>
    <w:rsid w:val="00A42571"/>
    <w:rsid w:val="00A45D52"/>
    <w:rsid w:val="00A47356"/>
    <w:rsid w:val="00A4749D"/>
    <w:rsid w:val="00A47E53"/>
    <w:rsid w:val="00A5422D"/>
    <w:rsid w:val="00A554A1"/>
    <w:rsid w:val="00A55625"/>
    <w:rsid w:val="00A608CA"/>
    <w:rsid w:val="00A60995"/>
    <w:rsid w:val="00A648D1"/>
    <w:rsid w:val="00A66F2A"/>
    <w:rsid w:val="00A675BE"/>
    <w:rsid w:val="00A7320C"/>
    <w:rsid w:val="00A750DA"/>
    <w:rsid w:val="00A761D3"/>
    <w:rsid w:val="00A86766"/>
    <w:rsid w:val="00A91006"/>
    <w:rsid w:val="00A92D0C"/>
    <w:rsid w:val="00A96CA0"/>
    <w:rsid w:val="00AA0451"/>
    <w:rsid w:val="00AA16AC"/>
    <w:rsid w:val="00AA29A8"/>
    <w:rsid w:val="00AB0545"/>
    <w:rsid w:val="00AB1D2A"/>
    <w:rsid w:val="00AB30DB"/>
    <w:rsid w:val="00AB4322"/>
    <w:rsid w:val="00AC28D6"/>
    <w:rsid w:val="00AC3065"/>
    <w:rsid w:val="00AC4C87"/>
    <w:rsid w:val="00AC6A57"/>
    <w:rsid w:val="00AD04AA"/>
    <w:rsid w:val="00AD1A34"/>
    <w:rsid w:val="00AD4C46"/>
    <w:rsid w:val="00AD62F0"/>
    <w:rsid w:val="00AD642D"/>
    <w:rsid w:val="00AE1A13"/>
    <w:rsid w:val="00AE298D"/>
    <w:rsid w:val="00AE3BB8"/>
    <w:rsid w:val="00AE3EB4"/>
    <w:rsid w:val="00AE6343"/>
    <w:rsid w:val="00AE6E14"/>
    <w:rsid w:val="00AF276C"/>
    <w:rsid w:val="00AF5A18"/>
    <w:rsid w:val="00AF6456"/>
    <w:rsid w:val="00AF765C"/>
    <w:rsid w:val="00B01F83"/>
    <w:rsid w:val="00B02FC9"/>
    <w:rsid w:val="00B03A0D"/>
    <w:rsid w:val="00B062F3"/>
    <w:rsid w:val="00B151AD"/>
    <w:rsid w:val="00B170CC"/>
    <w:rsid w:val="00B20739"/>
    <w:rsid w:val="00B209A7"/>
    <w:rsid w:val="00B31A16"/>
    <w:rsid w:val="00B330BD"/>
    <w:rsid w:val="00B3472D"/>
    <w:rsid w:val="00B347C2"/>
    <w:rsid w:val="00B40DFC"/>
    <w:rsid w:val="00B441CE"/>
    <w:rsid w:val="00B46E8C"/>
    <w:rsid w:val="00B500F8"/>
    <w:rsid w:val="00B552ED"/>
    <w:rsid w:val="00B65888"/>
    <w:rsid w:val="00B704CC"/>
    <w:rsid w:val="00B81A3B"/>
    <w:rsid w:val="00B85795"/>
    <w:rsid w:val="00B86C67"/>
    <w:rsid w:val="00B92635"/>
    <w:rsid w:val="00B92DC4"/>
    <w:rsid w:val="00B95302"/>
    <w:rsid w:val="00B97E5A"/>
    <w:rsid w:val="00BA51DE"/>
    <w:rsid w:val="00BA6A26"/>
    <w:rsid w:val="00BA70FF"/>
    <w:rsid w:val="00BA71CB"/>
    <w:rsid w:val="00BB352F"/>
    <w:rsid w:val="00BB3FAF"/>
    <w:rsid w:val="00BB4423"/>
    <w:rsid w:val="00BB55D6"/>
    <w:rsid w:val="00BC0D66"/>
    <w:rsid w:val="00BC1205"/>
    <w:rsid w:val="00BC4153"/>
    <w:rsid w:val="00BD05F0"/>
    <w:rsid w:val="00BD0F21"/>
    <w:rsid w:val="00BD2974"/>
    <w:rsid w:val="00BD2F20"/>
    <w:rsid w:val="00BD363D"/>
    <w:rsid w:val="00BD5FEE"/>
    <w:rsid w:val="00BD6EF6"/>
    <w:rsid w:val="00BD7E94"/>
    <w:rsid w:val="00BE0E5A"/>
    <w:rsid w:val="00BE4F46"/>
    <w:rsid w:val="00BF05EC"/>
    <w:rsid w:val="00BF0DA5"/>
    <w:rsid w:val="00BF155E"/>
    <w:rsid w:val="00BF2D61"/>
    <w:rsid w:val="00BF3A7C"/>
    <w:rsid w:val="00BF7895"/>
    <w:rsid w:val="00C0002D"/>
    <w:rsid w:val="00C066D8"/>
    <w:rsid w:val="00C075BE"/>
    <w:rsid w:val="00C10518"/>
    <w:rsid w:val="00C105B5"/>
    <w:rsid w:val="00C16329"/>
    <w:rsid w:val="00C16B23"/>
    <w:rsid w:val="00C20390"/>
    <w:rsid w:val="00C20959"/>
    <w:rsid w:val="00C22379"/>
    <w:rsid w:val="00C22763"/>
    <w:rsid w:val="00C234BD"/>
    <w:rsid w:val="00C24714"/>
    <w:rsid w:val="00C334B0"/>
    <w:rsid w:val="00C34FFF"/>
    <w:rsid w:val="00C407A2"/>
    <w:rsid w:val="00C41C9C"/>
    <w:rsid w:val="00C434EA"/>
    <w:rsid w:val="00C46012"/>
    <w:rsid w:val="00C47C42"/>
    <w:rsid w:val="00C547F1"/>
    <w:rsid w:val="00C5567F"/>
    <w:rsid w:val="00C60C7C"/>
    <w:rsid w:val="00C61EBD"/>
    <w:rsid w:val="00C63ADE"/>
    <w:rsid w:val="00C63D82"/>
    <w:rsid w:val="00C73AAD"/>
    <w:rsid w:val="00C746BD"/>
    <w:rsid w:val="00C76AED"/>
    <w:rsid w:val="00C77E4B"/>
    <w:rsid w:val="00C8517F"/>
    <w:rsid w:val="00C919A0"/>
    <w:rsid w:val="00C960B7"/>
    <w:rsid w:val="00CA4DB0"/>
    <w:rsid w:val="00CA5627"/>
    <w:rsid w:val="00CA574D"/>
    <w:rsid w:val="00CB0036"/>
    <w:rsid w:val="00CC1EAA"/>
    <w:rsid w:val="00CC316C"/>
    <w:rsid w:val="00CD08DE"/>
    <w:rsid w:val="00CD19F7"/>
    <w:rsid w:val="00CD4658"/>
    <w:rsid w:val="00CD523F"/>
    <w:rsid w:val="00CD6193"/>
    <w:rsid w:val="00CD7CA8"/>
    <w:rsid w:val="00CD7E58"/>
    <w:rsid w:val="00CE1456"/>
    <w:rsid w:val="00CE4667"/>
    <w:rsid w:val="00CF118C"/>
    <w:rsid w:val="00CF1195"/>
    <w:rsid w:val="00CF13B7"/>
    <w:rsid w:val="00CF3506"/>
    <w:rsid w:val="00CF712E"/>
    <w:rsid w:val="00D00518"/>
    <w:rsid w:val="00D010BD"/>
    <w:rsid w:val="00D03F2F"/>
    <w:rsid w:val="00D0513E"/>
    <w:rsid w:val="00D061C3"/>
    <w:rsid w:val="00D07956"/>
    <w:rsid w:val="00D10D0E"/>
    <w:rsid w:val="00D126F1"/>
    <w:rsid w:val="00D128E8"/>
    <w:rsid w:val="00D15637"/>
    <w:rsid w:val="00D1723D"/>
    <w:rsid w:val="00D20441"/>
    <w:rsid w:val="00D215B6"/>
    <w:rsid w:val="00D27B49"/>
    <w:rsid w:val="00D31E52"/>
    <w:rsid w:val="00D33806"/>
    <w:rsid w:val="00D34058"/>
    <w:rsid w:val="00D36A48"/>
    <w:rsid w:val="00D42F01"/>
    <w:rsid w:val="00D4300F"/>
    <w:rsid w:val="00D432FD"/>
    <w:rsid w:val="00D465C9"/>
    <w:rsid w:val="00D46FAC"/>
    <w:rsid w:val="00D510F7"/>
    <w:rsid w:val="00D65ECE"/>
    <w:rsid w:val="00D70B9F"/>
    <w:rsid w:val="00D71B10"/>
    <w:rsid w:val="00D729BF"/>
    <w:rsid w:val="00D747A8"/>
    <w:rsid w:val="00D75691"/>
    <w:rsid w:val="00D7710D"/>
    <w:rsid w:val="00D776E8"/>
    <w:rsid w:val="00D81D49"/>
    <w:rsid w:val="00D82DAA"/>
    <w:rsid w:val="00D83A25"/>
    <w:rsid w:val="00D83E09"/>
    <w:rsid w:val="00D848BE"/>
    <w:rsid w:val="00D87084"/>
    <w:rsid w:val="00D8709F"/>
    <w:rsid w:val="00D9455C"/>
    <w:rsid w:val="00D94E82"/>
    <w:rsid w:val="00D9687A"/>
    <w:rsid w:val="00DA2234"/>
    <w:rsid w:val="00DA2DEC"/>
    <w:rsid w:val="00DA467F"/>
    <w:rsid w:val="00DB0943"/>
    <w:rsid w:val="00DB1AA5"/>
    <w:rsid w:val="00DB59A4"/>
    <w:rsid w:val="00DB6AD0"/>
    <w:rsid w:val="00DB7C1E"/>
    <w:rsid w:val="00DC07EE"/>
    <w:rsid w:val="00DC1506"/>
    <w:rsid w:val="00DC55EC"/>
    <w:rsid w:val="00DC6504"/>
    <w:rsid w:val="00DC7220"/>
    <w:rsid w:val="00DD184E"/>
    <w:rsid w:val="00DD2BDC"/>
    <w:rsid w:val="00DD731A"/>
    <w:rsid w:val="00DE086A"/>
    <w:rsid w:val="00DE2268"/>
    <w:rsid w:val="00DE4001"/>
    <w:rsid w:val="00DE4409"/>
    <w:rsid w:val="00DE478C"/>
    <w:rsid w:val="00DE4CC9"/>
    <w:rsid w:val="00DE613A"/>
    <w:rsid w:val="00DF411E"/>
    <w:rsid w:val="00DF7795"/>
    <w:rsid w:val="00DF7DFC"/>
    <w:rsid w:val="00E02A9E"/>
    <w:rsid w:val="00E047BD"/>
    <w:rsid w:val="00E077B8"/>
    <w:rsid w:val="00E132E6"/>
    <w:rsid w:val="00E22DD1"/>
    <w:rsid w:val="00E23762"/>
    <w:rsid w:val="00E250AA"/>
    <w:rsid w:val="00E302C4"/>
    <w:rsid w:val="00E318C9"/>
    <w:rsid w:val="00E31F8C"/>
    <w:rsid w:val="00E32E3D"/>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3285"/>
    <w:rsid w:val="00E54BEE"/>
    <w:rsid w:val="00E5715D"/>
    <w:rsid w:val="00E5727F"/>
    <w:rsid w:val="00E578C4"/>
    <w:rsid w:val="00E636E6"/>
    <w:rsid w:val="00E6481D"/>
    <w:rsid w:val="00E64AEC"/>
    <w:rsid w:val="00E65D35"/>
    <w:rsid w:val="00E7187F"/>
    <w:rsid w:val="00E72019"/>
    <w:rsid w:val="00E72902"/>
    <w:rsid w:val="00E739D4"/>
    <w:rsid w:val="00E749C3"/>
    <w:rsid w:val="00E7590D"/>
    <w:rsid w:val="00E802E8"/>
    <w:rsid w:val="00E8190F"/>
    <w:rsid w:val="00E8432A"/>
    <w:rsid w:val="00E85892"/>
    <w:rsid w:val="00E913B2"/>
    <w:rsid w:val="00EA2981"/>
    <w:rsid w:val="00EA2CD3"/>
    <w:rsid w:val="00EA2F2A"/>
    <w:rsid w:val="00EA5B86"/>
    <w:rsid w:val="00EA763F"/>
    <w:rsid w:val="00EB1B71"/>
    <w:rsid w:val="00EB252D"/>
    <w:rsid w:val="00EB2961"/>
    <w:rsid w:val="00EB2CA3"/>
    <w:rsid w:val="00EB334C"/>
    <w:rsid w:val="00EB4238"/>
    <w:rsid w:val="00EB49AC"/>
    <w:rsid w:val="00EB4B61"/>
    <w:rsid w:val="00EB6DC0"/>
    <w:rsid w:val="00EC22D0"/>
    <w:rsid w:val="00EC23F2"/>
    <w:rsid w:val="00EC2A4F"/>
    <w:rsid w:val="00EC6CB8"/>
    <w:rsid w:val="00EC789A"/>
    <w:rsid w:val="00ED0B05"/>
    <w:rsid w:val="00ED27FC"/>
    <w:rsid w:val="00EE26A4"/>
    <w:rsid w:val="00EE505B"/>
    <w:rsid w:val="00EE6F6F"/>
    <w:rsid w:val="00F00818"/>
    <w:rsid w:val="00F01A99"/>
    <w:rsid w:val="00F024C3"/>
    <w:rsid w:val="00F03600"/>
    <w:rsid w:val="00F06772"/>
    <w:rsid w:val="00F07937"/>
    <w:rsid w:val="00F105E6"/>
    <w:rsid w:val="00F11245"/>
    <w:rsid w:val="00F1131E"/>
    <w:rsid w:val="00F1254A"/>
    <w:rsid w:val="00F13AB3"/>
    <w:rsid w:val="00F2081D"/>
    <w:rsid w:val="00F22843"/>
    <w:rsid w:val="00F264CF"/>
    <w:rsid w:val="00F27208"/>
    <w:rsid w:val="00F34596"/>
    <w:rsid w:val="00F35B69"/>
    <w:rsid w:val="00F35E94"/>
    <w:rsid w:val="00F3700A"/>
    <w:rsid w:val="00F402BD"/>
    <w:rsid w:val="00F40B43"/>
    <w:rsid w:val="00F40BDC"/>
    <w:rsid w:val="00F4138C"/>
    <w:rsid w:val="00F418DC"/>
    <w:rsid w:val="00F41BD7"/>
    <w:rsid w:val="00F41EBA"/>
    <w:rsid w:val="00F43485"/>
    <w:rsid w:val="00F4702E"/>
    <w:rsid w:val="00F47C51"/>
    <w:rsid w:val="00F51A3F"/>
    <w:rsid w:val="00F5351F"/>
    <w:rsid w:val="00F537E4"/>
    <w:rsid w:val="00F56E8C"/>
    <w:rsid w:val="00F60C8B"/>
    <w:rsid w:val="00F677F0"/>
    <w:rsid w:val="00F67F9D"/>
    <w:rsid w:val="00F73353"/>
    <w:rsid w:val="00F75F7E"/>
    <w:rsid w:val="00F80C68"/>
    <w:rsid w:val="00F84C72"/>
    <w:rsid w:val="00F84E6B"/>
    <w:rsid w:val="00F90B4C"/>
    <w:rsid w:val="00F920AA"/>
    <w:rsid w:val="00F93942"/>
    <w:rsid w:val="00F94E95"/>
    <w:rsid w:val="00F95110"/>
    <w:rsid w:val="00FA099D"/>
    <w:rsid w:val="00FA724A"/>
    <w:rsid w:val="00FB26C9"/>
    <w:rsid w:val="00FB26D7"/>
    <w:rsid w:val="00FB5F93"/>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3DE4"/>
    <w:rsid w:val="00FE49F3"/>
    <w:rsid w:val="00FE64F6"/>
    <w:rsid w:val="00FE7EB4"/>
    <w:rsid w:val="00FF55E8"/>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54597111-4B90-4F40-A458-00AED65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Jun</c:v>
                </c:pt>
                <c:pt idx="1">
                  <c:v>Jul</c:v>
                </c:pt>
                <c:pt idx="2">
                  <c:v>Aug</c:v>
                </c:pt>
                <c:pt idx="3">
                  <c:v>Sept</c:v>
                </c:pt>
                <c:pt idx="4">
                  <c:v>Oct</c:v>
                </c:pt>
                <c:pt idx="5">
                  <c:v>Nov</c:v>
                </c:pt>
                <c:pt idx="6">
                  <c:v>Dec</c:v>
                </c:pt>
                <c:pt idx="7">
                  <c:v>Jan</c:v>
                </c:pt>
                <c:pt idx="8">
                  <c:v>Feb</c:v>
                </c:pt>
                <c:pt idx="9">
                  <c:v>Mar</c:v>
                </c:pt>
                <c:pt idx="10">
                  <c:v>Apr</c:v>
                </c:pt>
                <c:pt idx="11">
                  <c:v>May</c:v>
                </c:pt>
              </c:strCache>
            </c:strRef>
          </c:cat>
          <c:val>
            <c:numRef>
              <c:f>'Monthly Stats Data'!$B$137:$M$137</c:f>
              <c:numCache>
                <c:formatCode>_(* #,##0_);_(* \(#,##0\);_(* "-"??_);_(@_)</c:formatCode>
                <c:ptCount val="12"/>
                <c:pt idx="0">
                  <c:v>2920</c:v>
                </c:pt>
                <c:pt idx="1">
                  <c:v>2850</c:v>
                </c:pt>
                <c:pt idx="2">
                  <c:v>3190</c:v>
                </c:pt>
                <c:pt idx="3">
                  <c:v>3374</c:v>
                </c:pt>
                <c:pt idx="4">
                  <c:v>3373</c:v>
                </c:pt>
                <c:pt idx="5">
                  <c:v>3024</c:v>
                </c:pt>
                <c:pt idx="6">
                  <c:v>2485</c:v>
                </c:pt>
                <c:pt idx="7">
                  <c:v>2376</c:v>
                </c:pt>
                <c:pt idx="8">
                  <c:v>2342</c:v>
                </c:pt>
                <c:pt idx="9">
                  <c:v>2670</c:v>
                </c:pt>
                <c:pt idx="10">
                  <c:v>2678</c:v>
                </c:pt>
                <c:pt idx="11">
                  <c:v>2995</c:v>
                </c:pt>
              </c:numCache>
            </c:numRef>
          </c:val>
          <c:extLst>
            <c:ext xmlns:c16="http://schemas.microsoft.com/office/drawing/2014/chart" uri="{C3380CC4-5D6E-409C-BE32-E72D297353CC}">
              <c16:uniqueId val="{00000000-8F97-4168-A498-AD13B5F01EB6}"/>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Jun</c:v>
                </c:pt>
                <c:pt idx="1">
                  <c:v>Jul</c:v>
                </c:pt>
                <c:pt idx="2">
                  <c:v>Aug</c:v>
                </c:pt>
                <c:pt idx="3">
                  <c:v>Sept</c:v>
                </c:pt>
                <c:pt idx="4">
                  <c:v>Oct</c:v>
                </c:pt>
                <c:pt idx="5">
                  <c:v>Nov</c:v>
                </c:pt>
                <c:pt idx="6">
                  <c:v>Dec</c:v>
                </c:pt>
                <c:pt idx="7">
                  <c:v>Jan</c:v>
                </c:pt>
                <c:pt idx="8">
                  <c:v>Feb</c:v>
                </c:pt>
                <c:pt idx="9">
                  <c:v>Mar</c:v>
                </c:pt>
                <c:pt idx="10">
                  <c:v>Apr</c:v>
                </c:pt>
                <c:pt idx="11">
                  <c:v>May</c:v>
                </c:pt>
              </c:strCache>
            </c:strRef>
          </c:cat>
          <c:val>
            <c:numRef>
              <c:f>'Monthly Stats Data'!$B$138:$M$138</c:f>
              <c:numCache>
                <c:formatCode>_(* #,##0_);_(* \(#,##0\);_(* "-"??_);_(@_)</c:formatCode>
                <c:ptCount val="12"/>
                <c:pt idx="0">
                  <c:v>1523</c:v>
                </c:pt>
                <c:pt idx="1">
                  <c:v>1586</c:v>
                </c:pt>
                <c:pt idx="2" formatCode="#,##0">
                  <c:v>1422</c:v>
                </c:pt>
                <c:pt idx="3">
                  <c:v>1406</c:v>
                </c:pt>
                <c:pt idx="4">
                  <c:v>1395</c:v>
                </c:pt>
                <c:pt idx="5">
                  <c:v>1131</c:v>
                </c:pt>
                <c:pt idx="6">
                  <c:v>818</c:v>
                </c:pt>
                <c:pt idx="7">
                  <c:v>1032</c:v>
                </c:pt>
                <c:pt idx="8">
                  <c:v>1298</c:v>
                </c:pt>
                <c:pt idx="9">
                  <c:v>1475</c:v>
                </c:pt>
                <c:pt idx="10">
                  <c:v>1863</c:v>
                </c:pt>
                <c:pt idx="11">
                  <c:v>1840</c:v>
                </c:pt>
              </c:numCache>
            </c:numRef>
          </c:val>
          <c:extLst>
            <c:ext xmlns:c16="http://schemas.microsoft.com/office/drawing/2014/chart" uri="{C3380CC4-5D6E-409C-BE32-E72D297353CC}">
              <c16:uniqueId val="{00000001-8F97-4168-A498-AD13B5F01EB6}"/>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Jun</c:v>
                </c:pt>
                <c:pt idx="1">
                  <c:v>Jul</c:v>
                </c:pt>
                <c:pt idx="2">
                  <c:v>Aug</c:v>
                </c:pt>
                <c:pt idx="3">
                  <c:v>Sept</c:v>
                </c:pt>
                <c:pt idx="4">
                  <c:v>Oct</c:v>
                </c:pt>
                <c:pt idx="5">
                  <c:v>Nov</c:v>
                </c:pt>
                <c:pt idx="6">
                  <c:v>Dec</c:v>
                </c:pt>
                <c:pt idx="7">
                  <c:v>Jan</c:v>
                </c:pt>
                <c:pt idx="8">
                  <c:v>Feb</c:v>
                </c:pt>
                <c:pt idx="9">
                  <c:v>Mar</c:v>
                </c:pt>
                <c:pt idx="10">
                  <c:v>Apr</c:v>
                </c:pt>
                <c:pt idx="11">
                  <c:v>May</c:v>
                </c:pt>
              </c:strCache>
            </c:strRef>
          </c:cat>
          <c:val>
            <c:numRef>
              <c:f>'Monthly Stats Data'!$B$139:$M$139</c:f>
              <c:numCache>
                <c:formatCode>_(* #,##0.0_);_(* \(#,##0.0\);_(* "-"??_);_(@_)</c:formatCode>
                <c:ptCount val="12"/>
                <c:pt idx="0">
                  <c:v>3.2</c:v>
                </c:pt>
                <c:pt idx="1">
                  <c:v>3.1</c:v>
                </c:pt>
                <c:pt idx="2">
                  <c:v>3.3</c:v>
                </c:pt>
                <c:pt idx="3">
                  <c:v>3.4</c:v>
                </c:pt>
                <c:pt idx="4">
                  <c:v>3.4</c:v>
                </c:pt>
                <c:pt idx="5">
                  <c:v>2.9</c:v>
                </c:pt>
                <c:pt idx="6">
                  <c:v>2.2999999999999998</c:v>
                </c:pt>
                <c:pt idx="7">
                  <c:v>2.4</c:v>
                </c:pt>
                <c:pt idx="8">
                  <c:v>2.6</c:v>
                </c:pt>
                <c:pt idx="9">
                  <c:v>2.9</c:v>
                </c:pt>
                <c:pt idx="10">
                  <c:v>3.2</c:v>
                </c:pt>
                <c:pt idx="11">
                  <c:v>3.4</c:v>
                </c:pt>
              </c:numCache>
            </c:numRef>
          </c:val>
          <c:smooth val="0"/>
          <c:extLst>
            <c:ext xmlns:c16="http://schemas.microsoft.com/office/drawing/2014/chart" uri="{C3380CC4-5D6E-409C-BE32-E72D297353CC}">
              <c16:uniqueId val="{00000002-8F97-4168-A498-AD13B5F01EB6}"/>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Jun</c:v>
                </c:pt>
                <c:pt idx="1">
                  <c:v>Jul</c:v>
                </c:pt>
                <c:pt idx="2">
                  <c:v>Aug</c:v>
                </c:pt>
                <c:pt idx="3">
                  <c:v>Sept</c:v>
                </c:pt>
                <c:pt idx="4">
                  <c:v>Oct</c:v>
                </c:pt>
                <c:pt idx="5">
                  <c:v>Nov</c:v>
                </c:pt>
                <c:pt idx="6">
                  <c:v>Dec</c:v>
                </c:pt>
                <c:pt idx="7">
                  <c:v>Jan</c:v>
                </c:pt>
                <c:pt idx="8">
                  <c:v>Feb</c:v>
                </c:pt>
                <c:pt idx="9">
                  <c:v>Mar</c:v>
                </c:pt>
                <c:pt idx="10">
                  <c:v>Apr</c:v>
                </c:pt>
                <c:pt idx="11">
                  <c:v>May</c:v>
                </c:pt>
              </c:strCache>
            </c:strRef>
          </c:cat>
          <c:val>
            <c:numRef>
              <c:f>'Monthly Stats Data'!$B$140:$M$140</c:f>
              <c:numCache>
                <c:formatCode>_(* #,##0.0_);_(* \(#,##0.0\);_(* "-"??_);_(@_)</c:formatCode>
                <c:ptCount val="12"/>
                <c:pt idx="0">
                  <c:v>1.4</c:v>
                </c:pt>
                <c:pt idx="1">
                  <c:v>1.5</c:v>
                </c:pt>
                <c:pt idx="2">
                  <c:v>1.6</c:v>
                </c:pt>
                <c:pt idx="3">
                  <c:v>1.8</c:v>
                </c:pt>
                <c:pt idx="4">
                  <c:v>1.7</c:v>
                </c:pt>
                <c:pt idx="5">
                  <c:v>1.4</c:v>
                </c:pt>
                <c:pt idx="6">
                  <c:v>1.2</c:v>
                </c:pt>
                <c:pt idx="7">
                  <c:v>1.2</c:v>
                </c:pt>
                <c:pt idx="8">
                  <c:v>1.2</c:v>
                </c:pt>
                <c:pt idx="9">
                  <c:v>1.3</c:v>
                </c:pt>
                <c:pt idx="10">
                  <c:v>1.3</c:v>
                </c:pt>
                <c:pt idx="11">
                  <c:v>1.4</c:v>
                </c:pt>
              </c:numCache>
            </c:numRef>
          </c:val>
          <c:smooth val="0"/>
          <c:extLst>
            <c:ext xmlns:c16="http://schemas.microsoft.com/office/drawing/2014/chart" uri="{C3380CC4-5D6E-409C-BE32-E72D297353CC}">
              <c16:uniqueId val="{00000003-8F97-4168-A498-AD13B5F01EB6}"/>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5282993400682179"/>
          <c:y val="0.86435268229202522"/>
          <c:w val="0.71657527714442404"/>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Data'!$Q$137</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Data'!$P$143:$P$154</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'Monthly Stats Data'!$Q$143:$Q$154</c:f>
              <c:numCache>
                <c:formatCode>_(* #,##0_);_(* \(#,##0\);_(* "-"??_);_(@_)</c:formatCode>
                <c:ptCount val="12"/>
                <c:pt idx="0">
                  <c:v>4443</c:v>
                </c:pt>
                <c:pt idx="1">
                  <c:v>4436</c:v>
                </c:pt>
                <c:pt idx="2">
                  <c:v>4612</c:v>
                </c:pt>
                <c:pt idx="3">
                  <c:v>4780</c:v>
                </c:pt>
                <c:pt idx="4">
                  <c:v>4768</c:v>
                </c:pt>
                <c:pt idx="5">
                  <c:v>4155</c:v>
                </c:pt>
                <c:pt idx="6">
                  <c:v>3303</c:v>
                </c:pt>
                <c:pt idx="7">
                  <c:v>3408</c:v>
                </c:pt>
                <c:pt idx="8">
                  <c:v>3640</c:v>
                </c:pt>
                <c:pt idx="9">
                  <c:v>4145</c:v>
                </c:pt>
                <c:pt idx="10">
                  <c:v>4541</c:v>
                </c:pt>
                <c:pt idx="11">
                  <c:v>4835</c:v>
                </c:pt>
              </c:numCache>
            </c:numRef>
          </c:val>
          <c:extLst>
            <c:ext xmlns:c16="http://schemas.microsoft.com/office/drawing/2014/chart" uri="{C3380CC4-5D6E-409C-BE32-E72D297353CC}">
              <c16:uniqueId val="{00000000-27E8-4740-9551-CB4BD4B0DE02}"/>
            </c:ext>
          </c:extLst>
        </c:ser>
        <c:ser>
          <c:idx val="3"/>
          <c:order val="1"/>
          <c:tx>
            <c:strRef>
              <c:f>'Monthly Stats Data'!$T$136:$T$137</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Data'!$P$143:$P$154</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'Monthly Stats Data'!$T$143:$T$154</c:f>
              <c:numCache>
                <c:formatCode>_(* #,##0_);_(* \(#,##0\);_(* "-"??_);_(@_)</c:formatCode>
                <c:ptCount val="12"/>
                <c:pt idx="0">
                  <c:v>3910</c:v>
                </c:pt>
                <c:pt idx="1">
                  <c:v>4020</c:v>
                </c:pt>
                <c:pt idx="2">
                  <c:v>3840</c:v>
                </c:pt>
                <c:pt idx="3">
                  <c:v>3675</c:v>
                </c:pt>
                <c:pt idx="4">
                  <c:v>3730</c:v>
                </c:pt>
                <c:pt idx="5">
                  <c:v>4360</c:v>
                </c:pt>
                <c:pt idx="6">
                  <c:v>5150</c:v>
                </c:pt>
                <c:pt idx="7">
                  <c:v>5050</c:v>
                </c:pt>
                <c:pt idx="8">
                  <c:v>4775</c:v>
                </c:pt>
                <c:pt idx="9">
                  <c:v>4290</c:v>
                </c:pt>
                <c:pt idx="10">
                  <c:v>3960</c:v>
                </c:pt>
                <c:pt idx="11">
                  <c:v>3735</c:v>
                </c:pt>
              </c:numCache>
            </c:numRef>
          </c:val>
          <c:extLst>
            <c:ext xmlns:c16="http://schemas.microsoft.com/office/drawing/2014/chart" uri="{C3380CC4-5D6E-409C-BE32-E72D297353CC}">
              <c16:uniqueId val="{00000001-27E8-4740-9551-CB4BD4B0DE02}"/>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6</cp:revision>
  <cp:lastPrinted>2026-06-11T19:08:00Z</cp:lastPrinted>
  <dcterms:created xsi:type="dcterms:W3CDTF">2026-06-11T17:27:00Z</dcterms:created>
  <dcterms:modified xsi:type="dcterms:W3CDTF">2026-06-11T19:22:00Z</dcterms:modified>
</cp:coreProperties>
</file>