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FBFF" w14:textId="1ADE0D7F" w:rsidR="00127EF0" w:rsidRDefault="001C3CE4" w:rsidP="001F5CBD">
      <w:pPr>
        <w:jc w:val="center"/>
        <w:rPr>
          <w:sz w:val="24"/>
          <w:szCs w:val="24"/>
        </w:rPr>
      </w:pPr>
      <w:bookmarkStart w:id="0" w:name="_MailOriginal"/>
      <w:r>
        <w:rPr>
          <w:noProof/>
        </w:rPr>
        <mc:AlternateContent>
          <mc:Choice Requires="wps">
            <w:drawing>
              <wp:anchor distT="0" distB="0" distL="114300" distR="114300" simplePos="0" relativeHeight="251667456" behindDoc="0" locked="0" layoutInCell="1" allowOverlap="1" wp14:anchorId="29A976A9" wp14:editId="7452784D">
                <wp:simplePos x="0" y="0"/>
                <wp:positionH relativeFrom="column">
                  <wp:posOffset>4086225</wp:posOffset>
                </wp:positionH>
                <wp:positionV relativeFrom="paragraph">
                  <wp:posOffset>-581025</wp:posOffset>
                </wp:positionV>
                <wp:extent cx="2298700" cy="1209675"/>
                <wp:effectExtent l="0" t="0" r="0" b="0"/>
                <wp:wrapNone/>
                <wp:docPr id="19837477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1209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EB74D" w14:textId="306309C1" w:rsidR="00AD4C46" w:rsidRPr="000478F6" w:rsidRDefault="00A94BCD" w:rsidP="006E0DB1">
                            <w:pPr>
                              <w:ind w:firstLine="720"/>
                              <w:jc w:val="right"/>
                              <w:rPr>
                                <w:b/>
                                <w:color w:val="FFFFFF" w:themeColor="background1"/>
                                <w:sz w:val="26"/>
                                <w:szCs w:val="26"/>
                              </w:rPr>
                            </w:pPr>
                            <w:r>
                              <w:rPr>
                                <w:b/>
                                <w:color w:val="FFFFFF" w:themeColor="background1"/>
                                <w:sz w:val="26"/>
                                <w:szCs w:val="26"/>
                              </w:rPr>
                              <w:t>June</w:t>
                            </w:r>
                            <w:r w:rsidR="006D2AF9">
                              <w:rPr>
                                <w:b/>
                                <w:color w:val="FFFFFF" w:themeColor="background1"/>
                                <w:sz w:val="26"/>
                                <w:szCs w:val="26"/>
                              </w:rPr>
                              <w:t xml:space="preserve"> 1</w:t>
                            </w:r>
                            <w:r>
                              <w:rPr>
                                <w:b/>
                                <w:color w:val="FFFFFF" w:themeColor="background1"/>
                                <w:sz w:val="26"/>
                                <w:szCs w:val="26"/>
                              </w:rPr>
                              <w:t>5</w:t>
                            </w:r>
                            <w:r w:rsidR="00C46012">
                              <w:rPr>
                                <w:b/>
                                <w:color w:val="FFFFFF" w:themeColor="background1"/>
                                <w:sz w:val="26"/>
                                <w:szCs w:val="26"/>
                              </w:rPr>
                              <w:t>, 202</w:t>
                            </w:r>
                            <w:r w:rsidR="00133D00">
                              <w:rPr>
                                <w:b/>
                                <w:color w:val="FFFFFF" w:themeColor="background1"/>
                                <w:sz w:val="26"/>
                                <w:szCs w:val="26"/>
                              </w:rPr>
                              <w:t>6</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76A9" id="Rectangle 2" o:spid="_x0000_s1026" style="position:absolute;left:0;text-align:left;margin-left:321.75pt;margin-top:-45.75pt;width:181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" filled="f" stroked="f" strokeweight="1pt">
                <v:textbox>
                  <w:txbxContent>
                    <w:p w14:paraId="647EB74D" w14:textId="306309C1" w:rsidR="00AD4C46" w:rsidRPr="000478F6" w:rsidRDefault="00A94BCD" w:rsidP="006E0DB1">
                      <w:pPr>
                        <w:ind w:firstLine="720"/>
                        <w:jc w:val="right"/>
                        <w:rPr>
                          <w:b/>
                          <w:color w:val="FFFFFF" w:themeColor="background1"/>
                          <w:sz w:val="26"/>
                          <w:szCs w:val="26"/>
                        </w:rPr>
                      </w:pPr>
                      <w:r>
                        <w:rPr>
                          <w:b/>
                          <w:color w:val="FFFFFF" w:themeColor="background1"/>
                          <w:sz w:val="26"/>
                          <w:szCs w:val="26"/>
                        </w:rPr>
                        <w:t>June</w:t>
                      </w:r>
                      <w:r w:rsidR="006D2AF9">
                        <w:rPr>
                          <w:b/>
                          <w:color w:val="FFFFFF" w:themeColor="background1"/>
                          <w:sz w:val="26"/>
                          <w:szCs w:val="26"/>
                        </w:rPr>
                        <w:t xml:space="preserve"> 1</w:t>
                      </w:r>
                      <w:r>
                        <w:rPr>
                          <w:b/>
                          <w:color w:val="FFFFFF" w:themeColor="background1"/>
                          <w:sz w:val="26"/>
                          <w:szCs w:val="26"/>
                        </w:rPr>
                        <w:t>5</w:t>
                      </w:r>
                      <w:r w:rsidR="00C46012">
                        <w:rPr>
                          <w:b/>
                          <w:color w:val="FFFFFF" w:themeColor="background1"/>
                          <w:sz w:val="26"/>
                          <w:szCs w:val="26"/>
                        </w:rPr>
                        <w:t>, 202</w:t>
                      </w:r>
                      <w:r w:rsidR="00133D00">
                        <w:rPr>
                          <w:b/>
                          <w:color w:val="FFFFFF" w:themeColor="background1"/>
                          <w:sz w:val="26"/>
                          <w:szCs w:val="26"/>
                        </w:rPr>
                        <w:t>6</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FA0332F" wp14:editId="3D22F3BD">
                <wp:simplePos x="0" y="0"/>
                <wp:positionH relativeFrom="column">
                  <wp:posOffset>-914400</wp:posOffset>
                </wp:positionH>
                <wp:positionV relativeFrom="paragraph">
                  <wp:posOffset>-647700</wp:posOffset>
                </wp:positionV>
                <wp:extent cx="3429000" cy="1434465"/>
                <wp:effectExtent l="0" t="0" r="0" b="0"/>
                <wp:wrapNone/>
                <wp:docPr id="2030706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434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8" w:history="1">
                              <w:r w:rsidRPr="000478F6">
                                <w:rPr>
                                  <w:rStyle w:val="Hyperlink"/>
                                  <w:color w:val="FFFFFF" w:themeColor="background1"/>
                                  <w:u w:val="none"/>
                                </w:rPr>
                                <w:t>mike@gmar.</w:t>
                              </w:r>
                            </w:hyperlink>
                            <w:r w:rsidRPr="000478F6">
                              <w:rPr>
                                <w:rStyle w:val="Hyperlink"/>
                                <w:color w:val="FFFFFF" w:themeColor="background1"/>
                                <w:u w:val="none"/>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332F" id="Rectangle 1" o:spid="_x0000_s1027" style="position:absolute;left:0;text-align:left;margin-left:-1in;margin-top:-51pt;width:270pt;height:1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" filled="f" stroked="f" strokeweight="1pt">
                <v:textbo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9" w:history="1">
                        <w:r w:rsidRPr="000478F6">
                          <w:rPr>
                            <w:rStyle w:val="Hyperlink"/>
                            <w:color w:val="FFFFFF" w:themeColor="background1"/>
                            <w:u w:val="none"/>
                          </w:rPr>
                          <w:t>mike@gmar.</w:t>
                        </w:r>
                      </w:hyperlink>
                      <w:r w:rsidRPr="000478F6">
                        <w:rPr>
                          <w:rStyle w:val="Hyperlink"/>
                          <w:color w:val="FFFFFF" w:themeColor="background1"/>
                          <w:u w:val="none"/>
                        </w:rPr>
                        <w:t>com</w:t>
                      </w:r>
                    </w:p>
                  </w:txbxContent>
                </v:textbox>
              </v:rect>
            </w:pict>
          </mc:Fallback>
        </mc:AlternateContent>
      </w:r>
      <w:r w:rsidR="00127EF0">
        <w:rPr>
          <w:sz w:val="24"/>
          <w:szCs w:val="24"/>
        </w:rPr>
        <w:t xml:space="preserve"> </w:t>
      </w:r>
    </w:p>
    <w:p w14:paraId="33E945B2" w14:textId="522DA28B" w:rsidR="00127EF0" w:rsidRDefault="00127EF0" w:rsidP="00127EF0">
      <w:pPr>
        <w:rPr>
          <w:sz w:val="24"/>
          <w:szCs w:val="24"/>
        </w:rPr>
      </w:pPr>
    </w:p>
    <w:p w14:paraId="17239243" w14:textId="42821389" w:rsidR="00127EF0" w:rsidRDefault="00127EF0" w:rsidP="00127EF0">
      <w:pPr>
        <w:rPr>
          <w:sz w:val="24"/>
          <w:szCs w:val="24"/>
        </w:rPr>
      </w:pPr>
    </w:p>
    <w:p w14:paraId="4AAECA96" w14:textId="58DD31EA" w:rsidR="00127EF0" w:rsidRDefault="00127EF0" w:rsidP="00127EF0">
      <w:pPr>
        <w:jc w:val="center"/>
        <w:rPr>
          <w:rFonts w:eastAsia="Times New Roman"/>
          <w:b/>
          <w:bCs/>
          <w:sz w:val="24"/>
          <w:szCs w:val="24"/>
        </w:rPr>
      </w:pPr>
    </w:p>
    <w:p w14:paraId="2E9EC9D0" w14:textId="28BC2847" w:rsidR="001F5CBD" w:rsidRPr="00DB59A4" w:rsidRDefault="001F5CBD" w:rsidP="00127EF0">
      <w:pPr>
        <w:spacing w:before="120" w:after="120"/>
        <w:ind w:left="-360" w:right="-360"/>
        <w:jc w:val="center"/>
        <w:rPr>
          <w:rFonts w:ascii="Arial Narrow" w:hAnsi="Arial Narrow"/>
          <w:b/>
          <w:bCs/>
          <w:sz w:val="32"/>
          <w:szCs w:val="32"/>
        </w:rPr>
      </w:pPr>
    </w:p>
    <w:p w14:paraId="75EEA089" w14:textId="77777777" w:rsidR="0065136D" w:rsidRDefault="0065136D" w:rsidP="00AD4C46">
      <w:pPr>
        <w:pStyle w:val="Heading1"/>
      </w:pPr>
      <w:r>
        <w:t xml:space="preserve">June </w:t>
      </w:r>
      <w:r w:rsidRPr="00AD4C46">
        <w:t xml:space="preserve">Home Sales </w:t>
      </w:r>
      <w:r>
        <w:t>Up 9.8</w:t>
      </w:r>
      <w:r w:rsidRPr="00AD4C46">
        <w:t>%</w:t>
      </w:r>
    </w:p>
    <w:p w14:paraId="24DE3ED6" w14:textId="6BC4BF5F" w:rsidR="00775F51" w:rsidRDefault="00A94BCD" w:rsidP="00AD4C46">
      <w:pPr>
        <w:pStyle w:val="Heading1"/>
      </w:pPr>
      <w:r>
        <w:t>2</w:t>
      </w:r>
      <w:r w:rsidRPr="00A94BCD">
        <w:rPr>
          <w:vertAlign w:val="superscript"/>
        </w:rPr>
        <w:t>nd</w:t>
      </w:r>
      <w:r>
        <w:t xml:space="preserve"> </w:t>
      </w:r>
      <w:r w:rsidR="006D2AF9">
        <w:t>Q</w:t>
      </w:r>
      <w:r w:rsidR="003E15DD">
        <w:t>uar</w:t>
      </w:r>
      <w:r w:rsidR="006D2AF9">
        <w:t>t</w:t>
      </w:r>
      <w:r w:rsidR="003E15DD">
        <w:t>e</w:t>
      </w:r>
      <w:r w:rsidR="006D2AF9">
        <w:t>r</w:t>
      </w:r>
      <w:r w:rsidR="00133D00">
        <w:t xml:space="preserve"> </w:t>
      </w:r>
      <w:r w:rsidR="00775F51">
        <w:t xml:space="preserve">Home Sales </w:t>
      </w:r>
      <w:r w:rsidR="00737429">
        <w:t xml:space="preserve">Up </w:t>
      </w:r>
      <w:r>
        <w:t>6.</w:t>
      </w:r>
      <w:r w:rsidR="0065136D">
        <w:t>2</w:t>
      </w:r>
      <w:r w:rsidR="00775F51">
        <w:t>%</w:t>
      </w:r>
    </w:p>
    <w:p w14:paraId="33BE1908" w14:textId="4074191F" w:rsidR="00127EF0" w:rsidRPr="00E302C4" w:rsidRDefault="00127EF0" w:rsidP="00E302C4">
      <w:pPr>
        <w:ind w:left="-360" w:right="-360"/>
        <w:jc w:val="center"/>
        <w:rPr>
          <w:rFonts w:eastAsia="Times New Roman"/>
          <w:b/>
          <w:bCs/>
          <w:sz w:val="24"/>
          <w:szCs w:val="24"/>
        </w:rPr>
      </w:pPr>
    </w:p>
    <w:tbl>
      <w:tblPr>
        <w:tblStyle w:val="TableGrid"/>
        <w:tblpPr w:leftFromText="180" w:rightFromText="180" w:vertAnchor="text" w:horzAnchor="margin" w:tblpXSpec="center" w:tblpY="150"/>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280"/>
        <w:gridCol w:w="1465"/>
      </w:tblGrid>
      <w:tr w:rsidR="00E913B2" w:rsidRPr="002F2B80" w14:paraId="24B40EB5" w14:textId="77777777" w:rsidTr="00E8190F">
        <w:trPr>
          <w:trHeight w:val="360"/>
        </w:trPr>
        <w:tc>
          <w:tcPr>
            <w:tcW w:w="8280" w:type="dxa"/>
            <w:vAlign w:val="center"/>
          </w:tcPr>
          <w:p w14:paraId="1E501E17" w14:textId="68425F50" w:rsidR="00E913B2" w:rsidRPr="002F2B80" w:rsidRDefault="00E913B2" w:rsidP="00985B7F">
            <w:pPr>
              <w:rPr>
                <w:sz w:val="24"/>
                <w:szCs w:val="24"/>
              </w:rPr>
            </w:pPr>
            <w:r w:rsidRPr="002F2B80">
              <w:rPr>
                <w:sz w:val="24"/>
                <w:szCs w:val="24"/>
              </w:rPr>
              <w:t>Highlights</w:t>
            </w:r>
          </w:p>
        </w:tc>
        <w:tc>
          <w:tcPr>
            <w:tcW w:w="1465" w:type="dxa"/>
            <w:vAlign w:val="center"/>
          </w:tcPr>
          <w:p w14:paraId="1ED3215F" w14:textId="41CE95B1" w:rsidR="00E913B2" w:rsidRPr="002F2B80" w:rsidRDefault="00E913B2" w:rsidP="00985B7F">
            <w:pPr>
              <w:spacing w:before="120" w:after="120"/>
              <w:ind w:left="-115" w:right="-29"/>
              <w:jc w:val="right"/>
              <w:rPr>
                <w:rFonts w:ascii="Arial" w:hAnsi="Arial" w:cs="Arial"/>
                <w:b/>
                <w:bCs/>
                <w:sz w:val="24"/>
                <w:szCs w:val="24"/>
              </w:rPr>
            </w:pPr>
          </w:p>
        </w:tc>
      </w:tr>
      <w:tr w:rsidR="00E302C4" w:rsidRPr="002F2B80" w14:paraId="16998B52" w14:textId="77777777" w:rsidTr="00E8190F">
        <w:trPr>
          <w:gridAfter w:val="1"/>
          <w:wAfter w:w="1465" w:type="dxa"/>
          <w:trHeight w:val="360"/>
        </w:trPr>
        <w:tc>
          <w:tcPr>
            <w:tcW w:w="8280" w:type="dxa"/>
            <w:vAlign w:val="center"/>
          </w:tcPr>
          <w:p w14:paraId="2AA4FD63" w14:textId="5EC26723" w:rsidR="00E302C4" w:rsidRPr="002F2B80" w:rsidRDefault="008220C9" w:rsidP="00B20739">
            <w:pPr>
              <w:pStyle w:val="ListParagraph"/>
              <w:ind w:left="510"/>
              <w:rPr>
                <w:sz w:val="24"/>
                <w:szCs w:val="24"/>
              </w:rPr>
            </w:pPr>
            <w:bookmarkStart w:id="1" w:name="_Hlk195533650"/>
            <w:r>
              <w:rPr>
                <w:sz w:val="24"/>
                <w:szCs w:val="24"/>
              </w:rPr>
              <w:t xml:space="preserve">Strong </w:t>
            </w:r>
            <w:r w:rsidR="00801B2E">
              <w:rPr>
                <w:sz w:val="24"/>
                <w:szCs w:val="24"/>
              </w:rPr>
              <w:t>Increase i</w:t>
            </w:r>
            <w:r>
              <w:rPr>
                <w:sz w:val="24"/>
                <w:szCs w:val="24"/>
              </w:rPr>
              <w:t>n</w:t>
            </w:r>
            <w:r w:rsidR="00801B2E">
              <w:rPr>
                <w:sz w:val="24"/>
                <w:szCs w:val="24"/>
              </w:rPr>
              <w:t xml:space="preserve"> </w:t>
            </w:r>
            <w:r>
              <w:rPr>
                <w:sz w:val="24"/>
                <w:szCs w:val="24"/>
              </w:rPr>
              <w:t>Sales</w:t>
            </w:r>
          </w:p>
        </w:tc>
      </w:tr>
      <w:tr w:rsidR="00E302C4" w:rsidRPr="002F2B80" w14:paraId="786D284B" w14:textId="77777777" w:rsidTr="00E8190F">
        <w:trPr>
          <w:gridAfter w:val="1"/>
          <w:wAfter w:w="1465" w:type="dxa"/>
          <w:trHeight w:val="360"/>
        </w:trPr>
        <w:tc>
          <w:tcPr>
            <w:tcW w:w="8280" w:type="dxa"/>
            <w:vAlign w:val="center"/>
          </w:tcPr>
          <w:p w14:paraId="1B827FCA" w14:textId="0FA43466" w:rsidR="00E302C4" w:rsidRPr="007B1281" w:rsidRDefault="00F418DC" w:rsidP="00B20739">
            <w:pPr>
              <w:pStyle w:val="ListParagraph"/>
              <w:ind w:left="510"/>
              <w:rPr>
                <w:sz w:val="24"/>
                <w:szCs w:val="24"/>
              </w:rPr>
            </w:pPr>
            <w:r>
              <w:rPr>
                <w:sz w:val="24"/>
                <w:szCs w:val="24"/>
              </w:rPr>
              <w:t xml:space="preserve">Metro </w:t>
            </w:r>
            <w:r w:rsidRPr="008C345B">
              <w:rPr>
                <w:sz w:val="24"/>
                <w:szCs w:val="24"/>
              </w:rPr>
              <w:t>Prices Up</w:t>
            </w:r>
            <w:r w:rsidR="008220C9">
              <w:rPr>
                <w:sz w:val="24"/>
                <w:szCs w:val="24"/>
              </w:rPr>
              <w:t xml:space="preserve">, </w:t>
            </w:r>
            <w:r w:rsidR="00F3700A">
              <w:rPr>
                <w:sz w:val="24"/>
                <w:szCs w:val="24"/>
              </w:rPr>
              <w:t>Average of $4</w:t>
            </w:r>
            <w:r w:rsidR="008220C9">
              <w:rPr>
                <w:sz w:val="24"/>
                <w:szCs w:val="24"/>
              </w:rPr>
              <w:t>83</w:t>
            </w:r>
            <w:r w:rsidR="00F3700A">
              <w:rPr>
                <w:sz w:val="24"/>
                <w:szCs w:val="24"/>
              </w:rPr>
              <w:t>,</w:t>
            </w:r>
            <w:r w:rsidR="008220C9">
              <w:rPr>
                <w:sz w:val="24"/>
                <w:szCs w:val="24"/>
              </w:rPr>
              <w:t>551</w:t>
            </w:r>
            <w:r w:rsidR="00F3700A">
              <w:rPr>
                <w:sz w:val="24"/>
                <w:szCs w:val="24"/>
              </w:rPr>
              <w:t xml:space="preserve"> </w:t>
            </w:r>
          </w:p>
        </w:tc>
      </w:tr>
      <w:tr w:rsidR="00E302C4" w:rsidRPr="002F2B80" w14:paraId="07DD8276" w14:textId="77777777" w:rsidTr="00E8190F">
        <w:trPr>
          <w:gridAfter w:val="1"/>
          <w:wAfter w:w="1465" w:type="dxa"/>
          <w:trHeight w:val="360"/>
        </w:trPr>
        <w:tc>
          <w:tcPr>
            <w:tcW w:w="8280" w:type="dxa"/>
            <w:vAlign w:val="center"/>
          </w:tcPr>
          <w:p w14:paraId="0EAFC321" w14:textId="59C37D60" w:rsidR="00E302C4" w:rsidRPr="002F2B80" w:rsidRDefault="008220C9" w:rsidP="00B20739">
            <w:pPr>
              <w:pStyle w:val="ListParagraph"/>
              <w:ind w:left="510"/>
              <w:rPr>
                <w:sz w:val="24"/>
                <w:szCs w:val="24"/>
              </w:rPr>
            </w:pPr>
            <w:r>
              <w:rPr>
                <w:sz w:val="24"/>
                <w:szCs w:val="24"/>
              </w:rPr>
              <w:t>Lisings Increasing, But More Needed</w:t>
            </w:r>
          </w:p>
        </w:tc>
      </w:tr>
      <w:bookmarkEnd w:id="1"/>
    </w:tbl>
    <w:p w14:paraId="59E3EC39" w14:textId="29106778" w:rsidR="00E302C4" w:rsidRDefault="00E302C4" w:rsidP="00E913B2">
      <w:pPr>
        <w:spacing w:before="120" w:after="120"/>
        <w:ind w:right="-360"/>
        <w:rPr>
          <w:sz w:val="24"/>
          <w:szCs w:val="24"/>
        </w:rPr>
      </w:pPr>
    </w:p>
    <w:p w14:paraId="27F1EB13" w14:textId="2495B685" w:rsidR="00E913B2" w:rsidRDefault="00E913B2" w:rsidP="00F402BD">
      <w:pPr>
        <w:spacing w:before="120" w:after="120"/>
        <w:ind w:right="-360"/>
      </w:pPr>
    </w:p>
    <w:tbl>
      <w:tblPr>
        <w:tblpPr w:leftFromText="187" w:rightFromText="288" w:bottomFromText="115" w:vertAnchor="text" w:horzAnchor="margin" w:tblpXSpec="right" w:tblpY="23"/>
        <w:tblW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963"/>
        <w:gridCol w:w="930"/>
        <w:gridCol w:w="985"/>
      </w:tblGrid>
      <w:tr w:rsidR="00B170CC" w:rsidRPr="00627017" w14:paraId="79E06187" w14:textId="77777777" w:rsidTr="00620A04">
        <w:trPr>
          <w:trHeight w:val="360"/>
        </w:trPr>
        <w:tc>
          <w:tcPr>
            <w:tcW w:w="4330" w:type="dxa"/>
            <w:gridSpan w:val="4"/>
            <w:tcBorders>
              <w:top w:val="nil"/>
              <w:left w:val="nil"/>
              <w:bottom w:val="nil"/>
              <w:right w:val="nil"/>
            </w:tcBorders>
            <w:tcMar>
              <w:top w:w="0" w:type="dxa"/>
              <w:left w:w="108" w:type="dxa"/>
              <w:bottom w:w="0" w:type="dxa"/>
              <w:right w:w="108" w:type="dxa"/>
            </w:tcMar>
            <w:vAlign w:val="center"/>
            <w:hideMark/>
          </w:tcPr>
          <w:p w14:paraId="5C170324" w14:textId="600B7DD4" w:rsidR="00B170CC" w:rsidRPr="00627017" w:rsidRDefault="004D52E3" w:rsidP="00B65888">
            <w:pPr>
              <w:spacing w:line="252" w:lineRule="auto"/>
              <w:ind w:left="-105" w:right="-15"/>
              <w:rPr>
                <w:rFonts w:ascii="Arial" w:hAnsi="Arial" w:cs="Arial"/>
                <w:b/>
                <w:sz w:val="24"/>
                <w:szCs w:val="24"/>
              </w:rPr>
            </w:pPr>
            <w:r>
              <w:rPr>
                <w:rFonts w:ascii="Arial" w:hAnsi="Arial" w:cs="Arial"/>
                <w:b/>
                <w:sz w:val="22"/>
              </w:rPr>
              <w:t xml:space="preserve"> </w:t>
            </w:r>
            <w:r w:rsidR="00A94BCD">
              <w:rPr>
                <w:rFonts w:ascii="Arial" w:hAnsi="Arial" w:cs="Arial"/>
                <w:b/>
                <w:sz w:val="22"/>
              </w:rPr>
              <w:t>2</w:t>
            </w:r>
            <w:r w:rsidR="00A94BCD" w:rsidRPr="00A94BCD">
              <w:rPr>
                <w:rFonts w:ascii="Arial" w:hAnsi="Arial" w:cs="Arial"/>
                <w:b/>
                <w:sz w:val="22"/>
                <w:vertAlign w:val="superscript"/>
              </w:rPr>
              <w:t>nd</w:t>
            </w:r>
            <w:r w:rsidR="00A94BCD">
              <w:rPr>
                <w:rFonts w:ascii="Arial" w:hAnsi="Arial" w:cs="Arial"/>
                <w:b/>
                <w:sz w:val="22"/>
              </w:rPr>
              <w:t xml:space="preserve"> </w:t>
            </w:r>
            <w:r w:rsidR="006D2AF9">
              <w:rPr>
                <w:rFonts w:ascii="Arial" w:hAnsi="Arial" w:cs="Arial"/>
                <w:b/>
                <w:sz w:val="22"/>
              </w:rPr>
              <w:t>Qtr Sales</w:t>
            </w:r>
            <w:r w:rsidR="00D20441">
              <w:rPr>
                <w:rFonts w:ascii="Arial" w:hAnsi="Arial" w:cs="Arial"/>
                <w:b/>
                <w:sz w:val="24"/>
                <w:szCs w:val="24"/>
              </w:rPr>
              <w:t xml:space="preserve"> </w:t>
            </w:r>
            <w:r w:rsidR="00D20441" w:rsidRPr="005C3BB5">
              <w:rPr>
                <w:rFonts w:ascii="Arial" w:eastAsia="Calibri" w:hAnsi="Arial" w:cs="Arial"/>
                <w:bCs/>
                <w:sz w:val="18"/>
                <w:szCs w:val="18"/>
              </w:rPr>
              <w:t xml:space="preserve">(Jan 1 – </w:t>
            </w:r>
            <w:r w:rsidR="00A94BCD">
              <w:rPr>
                <w:rFonts w:ascii="Arial" w:eastAsia="Calibri" w:hAnsi="Arial" w:cs="Arial"/>
                <w:bCs/>
                <w:sz w:val="18"/>
                <w:szCs w:val="18"/>
              </w:rPr>
              <w:t>Jun</w:t>
            </w:r>
            <w:r w:rsidR="00D20441">
              <w:rPr>
                <w:rFonts w:ascii="Arial" w:eastAsia="Calibri" w:hAnsi="Arial" w:cs="Arial"/>
                <w:bCs/>
                <w:sz w:val="18"/>
                <w:szCs w:val="18"/>
              </w:rPr>
              <w:t xml:space="preserve"> </w:t>
            </w:r>
            <w:r w:rsidR="00D20441" w:rsidRPr="005C3BB5">
              <w:rPr>
                <w:rFonts w:ascii="Arial" w:eastAsia="Calibri" w:hAnsi="Arial" w:cs="Arial"/>
                <w:bCs/>
                <w:sz w:val="18"/>
                <w:szCs w:val="18"/>
              </w:rPr>
              <w:t>3</w:t>
            </w:r>
            <w:r w:rsidR="00A94BCD">
              <w:rPr>
                <w:rFonts w:ascii="Arial" w:eastAsia="Calibri" w:hAnsi="Arial" w:cs="Arial"/>
                <w:bCs/>
                <w:sz w:val="18"/>
                <w:szCs w:val="18"/>
              </w:rPr>
              <w:t>0</w:t>
            </w:r>
            <w:r w:rsidR="00D20441" w:rsidRPr="005C3BB5">
              <w:rPr>
                <w:rFonts w:ascii="Arial" w:eastAsia="Calibri" w:hAnsi="Arial" w:cs="Arial"/>
                <w:bCs/>
                <w:sz w:val="18"/>
                <w:szCs w:val="18"/>
              </w:rPr>
              <w:t>)</w:t>
            </w:r>
          </w:p>
        </w:tc>
      </w:tr>
      <w:tr w:rsidR="00B170CC" w:rsidRPr="00627017" w14:paraId="5B14E643" w14:textId="77777777" w:rsidTr="00DB59A4">
        <w:trPr>
          <w:trHeight w:val="288"/>
        </w:trPr>
        <w:tc>
          <w:tcPr>
            <w:tcW w:w="1452" w:type="dxa"/>
            <w:tcBorders>
              <w:top w:val="nil"/>
              <w:left w:val="nil"/>
              <w:bottom w:val="nil"/>
              <w:right w:val="single" w:sz="12" w:space="0" w:color="FFFFFF"/>
            </w:tcBorders>
            <w:shd w:val="clear" w:color="auto" w:fill="1F4E79"/>
            <w:vAlign w:val="center"/>
            <w:hideMark/>
          </w:tcPr>
          <w:p w14:paraId="300A7600" w14:textId="77777777" w:rsidR="00B170CC" w:rsidRPr="00627017" w:rsidRDefault="00B170CC" w:rsidP="00627017">
            <w:pPr>
              <w:ind w:left="175" w:right="100"/>
              <w:rPr>
                <w:rFonts w:ascii="Arial" w:hAnsi="Arial" w:cs="Arial"/>
                <w:bCs/>
                <w:color w:val="FFFFFF" w:themeColor="background1"/>
                <w:sz w:val="20"/>
                <w:szCs w:val="20"/>
              </w:rPr>
            </w:pPr>
            <w:r w:rsidRPr="00627017">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1C5D9E84" w14:textId="275FC86B" w:rsidR="00B170CC" w:rsidRPr="00627017" w:rsidRDefault="00B170CC" w:rsidP="0001575D">
            <w:pPr>
              <w:spacing w:line="207" w:lineRule="atLeast"/>
              <w:ind w:left="44" w:right="62"/>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6D2AF9">
              <w:rPr>
                <w:rFonts w:ascii="Arial" w:hAnsi="Arial" w:cs="Arial"/>
                <w:color w:val="FFFFFF" w:themeColor="background1"/>
                <w:sz w:val="20"/>
                <w:szCs w:val="20"/>
              </w:rPr>
              <w:t>5</w:t>
            </w:r>
          </w:p>
        </w:tc>
        <w:tc>
          <w:tcPr>
            <w:tcW w:w="930"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4E96F07D" w14:textId="16E5FB9A" w:rsidR="00B170CC" w:rsidRPr="00627017" w:rsidRDefault="00B170CC" w:rsidP="0001575D">
            <w:pPr>
              <w:spacing w:line="207" w:lineRule="atLeast"/>
              <w:ind w:right="-23"/>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6D2AF9">
              <w:rPr>
                <w:rFonts w:ascii="Arial" w:hAnsi="Arial" w:cs="Arial"/>
                <w:color w:val="FFFFFF" w:themeColor="background1"/>
                <w:sz w:val="20"/>
                <w:szCs w:val="20"/>
              </w:rPr>
              <w:t>6</w:t>
            </w:r>
          </w:p>
        </w:tc>
        <w:tc>
          <w:tcPr>
            <w:tcW w:w="985" w:type="dxa"/>
            <w:tcBorders>
              <w:top w:val="nil"/>
              <w:left w:val="single" w:sz="12" w:space="0" w:color="FFFFFF"/>
              <w:bottom w:val="nil"/>
              <w:right w:val="nil"/>
            </w:tcBorders>
            <w:shd w:val="clear" w:color="auto" w:fill="1F4E79"/>
            <w:vAlign w:val="center"/>
          </w:tcPr>
          <w:p w14:paraId="0F94D0A4" w14:textId="77777777" w:rsidR="00B170CC" w:rsidRPr="00DB59A4" w:rsidRDefault="00B170CC" w:rsidP="00DB59A4">
            <w:pPr>
              <w:ind w:right="15"/>
              <w:jc w:val="center"/>
              <w:rPr>
                <w:rFonts w:ascii="Arial Narrow" w:hAnsi="Arial Narrow" w:cs="Arial"/>
                <w:color w:val="FFFFFF" w:themeColor="background1"/>
                <w:sz w:val="20"/>
                <w:szCs w:val="20"/>
              </w:rPr>
            </w:pPr>
            <w:r w:rsidRPr="00DB59A4">
              <w:rPr>
                <w:rFonts w:ascii="Arial Narrow" w:hAnsi="Arial Narrow" w:cs="Arial"/>
                <w:color w:val="FFFFFF" w:themeColor="background1"/>
                <w:sz w:val="20"/>
                <w:szCs w:val="20"/>
              </w:rPr>
              <w:t>% Change</w:t>
            </w:r>
          </w:p>
        </w:tc>
      </w:tr>
      <w:tr w:rsidR="00A94BCD" w:rsidRPr="00627017" w14:paraId="20306320"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4BD28B81" w14:textId="77777777" w:rsidR="00A94BCD" w:rsidRPr="00627017" w:rsidRDefault="00A94BCD" w:rsidP="00A94BCD">
            <w:pPr>
              <w:spacing w:line="252" w:lineRule="auto"/>
              <w:ind w:left="62" w:right="100"/>
              <w:rPr>
                <w:rFonts w:ascii="Arial" w:hAnsi="Arial" w:cs="Arial"/>
                <w:sz w:val="20"/>
                <w:szCs w:val="20"/>
              </w:rPr>
            </w:pPr>
            <w:r w:rsidRPr="00627017">
              <w:rPr>
                <w:rFonts w:ascii="Arial" w:hAnsi="Arial" w:cs="Arial"/>
                <w:sz w:val="20"/>
                <w:szCs w:val="20"/>
              </w:rPr>
              <w:t>Milwaukee</w:t>
            </w:r>
          </w:p>
        </w:tc>
        <w:tc>
          <w:tcPr>
            <w:tcW w:w="963" w:type="dxa"/>
            <w:tcBorders>
              <w:top w:val="nil"/>
              <w:left w:val="nil"/>
              <w:bottom w:val="nil"/>
              <w:right w:val="nil"/>
            </w:tcBorders>
            <w:tcMar>
              <w:top w:w="0" w:type="dxa"/>
              <w:left w:w="108" w:type="dxa"/>
              <w:bottom w:w="0" w:type="dxa"/>
              <w:right w:w="108" w:type="dxa"/>
            </w:tcMar>
            <w:vAlign w:val="center"/>
          </w:tcPr>
          <w:p w14:paraId="673EB4AB" w14:textId="7F3BD0A5"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4,568 </w:t>
            </w:r>
          </w:p>
        </w:tc>
        <w:tc>
          <w:tcPr>
            <w:tcW w:w="930" w:type="dxa"/>
            <w:tcBorders>
              <w:top w:val="nil"/>
              <w:left w:val="nil"/>
              <w:bottom w:val="nil"/>
              <w:right w:val="nil"/>
            </w:tcBorders>
            <w:tcMar>
              <w:top w:w="0" w:type="dxa"/>
              <w:left w:w="108" w:type="dxa"/>
              <w:bottom w:w="0" w:type="dxa"/>
              <w:right w:w="108" w:type="dxa"/>
            </w:tcMar>
            <w:vAlign w:val="center"/>
          </w:tcPr>
          <w:p w14:paraId="6BA5F808" w14:textId="50B55615"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4,782 </w:t>
            </w:r>
          </w:p>
        </w:tc>
        <w:tc>
          <w:tcPr>
            <w:tcW w:w="985" w:type="dxa"/>
            <w:tcBorders>
              <w:top w:val="nil"/>
              <w:left w:val="nil"/>
              <w:bottom w:val="nil"/>
              <w:right w:val="nil"/>
            </w:tcBorders>
            <w:vAlign w:val="center"/>
          </w:tcPr>
          <w:p w14:paraId="59294B08" w14:textId="3711A880"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4.7%</w:t>
            </w:r>
          </w:p>
        </w:tc>
      </w:tr>
      <w:tr w:rsidR="00A94BCD" w:rsidRPr="00627017" w14:paraId="476C4D87"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hideMark/>
          </w:tcPr>
          <w:p w14:paraId="7B5787B5" w14:textId="77777777" w:rsidR="00A94BCD" w:rsidRPr="00627017" w:rsidRDefault="00A94BCD" w:rsidP="00A94BCD">
            <w:pPr>
              <w:spacing w:line="252" w:lineRule="auto"/>
              <w:ind w:left="62" w:right="100"/>
              <w:rPr>
                <w:rFonts w:ascii="Arial" w:hAnsi="Arial" w:cs="Arial"/>
                <w:sz w:val="20"/>
                <w:szCs w:val="20"/>
              </w:rPr>
            </w:pPr>
            <w:r w:rsidRPr="00627017">
              <w:rPr>
                <w:rFonts w:ascii="Arial" w:hAnsi="Arial" w:cs="Arial"/>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7FE16B9" w14:textId="5598025A"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2,200 </w:t>
            </w:r>
          </w:p>
        </w:tc>
        <w:tc>
          <w:tcPr>
            <w:tcW w:w="930"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19BAADAC" w14:textId="4B9A234A"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2,388 </w:t>
            </w:r>
          </w:p>
        </w:tc>
        <w:tc>
          <w:tcPr>
            <w:tcW w:w="985" w:type="dxa"/>
            <w:tcBorders>
              <w:top w:val="nil"/>
              <w:left w:val="nil"/>
              <w:bottom w:val="nil"/>
              <w:right w:val="nil"/>
            </w:tcBorders>
            <w:shd w:val="clear" w:color="auto" w:fill="D5DCE4" w:themeFill="text2" w:themeFillTint="33"/>
            <w:vAlign w:val="center"/>
          </w:tcPr>
          <w:p w14:paraId="29A559A1" w14:textId="470F0218"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8.5%</w:t>
            </w:r>
          </w:p>
        </w:tc>
      </w:tr>
      <w:tr w:rsidR="00A94BCD" w:rsidRPr="00627017" w14:paraId="7C64D003"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20E71E4B" w14:textId="59B4DC24"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5D81EC73" w14:textId="3BBAD91C"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525 </w:t>
            </w:r>
          </w:p>
        </w:tc>
        <w:tc>
          <w:tcPr>
            <w:tcW w:w="930" w:type="dxa"/>
            <w:tcBorders>
              <w:top w:val="nil"/>
              <w:left w:val="nil"/>
              <w:bottom w:val="nil"/>
              <w:right w:val="nil"/>
            </w:tcBorders>
            <w:tcMar>
              <w:top w:w="0" w:type="dxa"/>
              <w:left w:w="108" w:type="dxa"/>
              <w:bottom w:w="0" w:type="dxa"/>
              <w:right w:w="108" w:type="dxa"/>
            </w:tcMar>
            <w:vAlign w:val="center"/>
          </w:tcPr>
          <w:p w14:paraId="5C58E35F" w14:textId="33F3642A"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568 </w:t>
            </w:r>
          </w:p>
        </w:tc>
        <w:tc>
          <w:tcPr>
            <w:tcW w:w="985" w:type="dxa"/>
            <w:tcBorders>
              <w:top w:val="nil"/>
              <w:left w:val="nil"/>
              <w:bottom w:val="nil"/>
              <w:right w:val="nil"/>
            </w:tcBorders>
            <w:vAlign w:val="center"/>
          </w:tcPr>
          <w:p w14:paraId="5917AD6B" w14:textId="5CECA2B9"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8.2%</w:t>
            </w:r>
          </w:p>
        </w:tc>
      </w:tr>
      <w:tr w:rsidR="00A94BCD" w:rsidRPr="00627017" w14:paraId="73B88858" w14:textId="77777777" w:rsidTr="00A94BCD">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hideMark/>
          </w:tcPr>
          <w:p w14:paraId="428D03BE" w14:textId="64F564C2"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36D56538" w14:textId="064DF3AC"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768 </w:t>
            </w:r>
          </w:p>
        </w:tc>
        <w:tc>
          <w:tcPr>
            <w:tcW w:w="930"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3398DCFA" w14:textId="7BDBE21A"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824 </w:t>
            </w:r>
          </w:p>
        </w:tc>
        <w:tc>
          <w:tcPr>
            <w:tcW w:w="985" w:type="dxa"/>
            <w:tcBorders>
              <w:top w:val="nil"/>
              <w:left w:val="nil"/>
              <w:bottom w:val="nil"/>
              <w:right w:val="nil"/>
            </w:tcBorders>
            <w:shd w:val="clear" w:color="auto" w:fill="D5DCE4" w:themeFill="text2" w:themeFillTint="33"/>
            <w:vAlign w:val="center"/>
          </w:tcPr>
          <w:p w14:paraId="0A622F2D" w14:textId="27354480"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7.3%</w:t>
            </w:r>
          </w:p>
        </w:tc>
      </w:tr>
      <w:tr w:rsidR="00A94BCD" w:rsidRPr="00627017" w14:paraId="29367927"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hideMark/>
          </w:tcPr>
          <w:p w14:paraId="09537E40" w14:textId="77777777" w:rsidR="00A94BCD" w:rsidRPr="00627017" w:rsidRDefault="00A94BCD" w:rsidP="00A94BCD">
            <w:pPr>
              <w:spacing w:line="252" w:lineRule="auto"/>
              <w:ind w:left="62" w:right="100"/>
              <w:rPr>
                <w:rFonts w:ascii="Arial" w:hAnsi="Arial" w:cs="Arial"/>
                <w:sz w:val="20"/>
                <w:szCs w:val="20"/>
              </w:rPr>
            </w:pPr>
            <w:r w:rsidRPr="00627017">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631F0E7A" w14:textId="0B9D6DB1"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8,061 </w:t>
            </w:r>
          </w:p>
        </w:tc>
        <w:tc>
          <w:tcPr>
            <w:tcW w:w="930" w:type="dxa"/>
            <w:tcBorders>
              <w:top w:val="single" w:sz="4" w:space="0" w:color="auto"/>
              <w:left w:val="nil"/>
              <w:bottom w:val="nil"/>
              <w:right w:val="nil"/>
            </w:tcBorders>
            <w:tcMar>
              <w:top w:w="0" w:type="dxa"/>
              <w:left w:w="108" w:type="dxa"/>
              <w:bottom w:w="0" w:type="dxa"/>
              <w:right w:w="108" w:type="dxa"/>
            </w:tcMar>
            <w:vAlign w:val="center"/>
          </w:tcPr>
          <w:p w14:paraId="397B451F" w14:textId="7555D513"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8,562 </w:t>
            </w:r>
          </w:p>
        </w:tc>
        <w:tc>
          <w:tcPr>
            <w:tcW w:w="985" w:type="dxa"/>
            <w:tcBorders>
              <w:top w:val="nil"/>
              <w:left w:val="nil"/>
              <w:bottom w:val="nil"/>
              <w:right w:val="nil"/>
            </w:tcBorders>
            <w:vAlign w:val="center"/>
          </w:tcPr>
          <w:p w14:paraId="49179831" w14:textId="3315967C"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6.2%</w:t>
            </w:r>
          </w:p>
        </w:tc>
      </w:tr>
      <w:tr w:rsidR="00593670" w:rsidRPr="00627017" w14:paraId="0DD73203" w14:textId="77777777" w:rsidTr="00A94BCD">
        <w:trPr>
          <w:trHeight w:val="80"/>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29D28F7B" w14:textId="77777777" w:rsidR="00593670" w:rsidRPr="00620A04" w:rsidRDefault="00593670" w:rsidP="00A94BCD">
            <w:pPr>
              <w:spacing w:line="252" w:lineRule="auto"/>
              <w:ind w:right="195"/>
              <w:rPr>
                <w:rFonts w:ascii="Arial" w:hAnsi="Arial" w:cs="Arial"/>
                <w:sz w:val="10"/>
                <w:szCs w:val="10"/>
              </w:rPr>
            </w:pPr>
          </w:p>
        </w:tc>
      </w:tr>
      <w:tr w:rsidR="00A94BCD" w:rsidRPr="00627017" w14:paraId="4DB026E3"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13A645C7" w14:textId="4168D92D"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6EE067B3" w14:textId="475432AC"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503 </w:t>
            </w:r>
          </w:p>
        </w:tc>
        <w:tc>
          <w:tcPr>
            <w:tcW w:w="930" w:type="dxa"/>
            <w:tcBorders>
              <w:top w:val="nil"/>
              <w:left w:val="nil"/>
              <w:bottom w:val="nil"/>
              <w:right w:val="nil"/>
            </w:tcBorders>
            <w:vAlign w:val="center"/>
          </w:tcPr>
          <w:p w14:paraId="76784B77" w14:textId="2A8DB358" w:rsidR="00A94BCD" w:rsidRPr="00A94BCD" w:rsidRDefault="00A94BCD" w:rsidP="00A94BCD">
            <w:pPr>
              <w:spacing w:line="252" w:lineRule="auto"/>
              <w:ind w:right="130"/>
              <w:jc w:val="right"/>
              <w:rPr>
                <w:rFonts w:ascii="Arial" w:hAnsi="Arial" w:cs="Arial"/>
                <w:sz w:val="20"/>
                <w:szCs w:val="20"/>
              </w:rPr>
            </w:pPr>
            <w:r w:rsidRPr="00A94BCD">
              <w:rPr>
                <w:rFonts w:ascii="Arial" w:hAnsi="Arial" w:cs="Arial"/>
                <w:sz w:val="20"/>
                <w:szCs w:val="20"/>
              </w:rPr>
              <w:t xml:space="preserve"> 565 </w:t>
            </w:r>
          </w:p>
        </w:tc>
        <w:tc>
          <w:tcPr>
            <w:tcW w:w="985" w:type="dxa"/>
            <w:tcBorders>
              <w:top w:val="nil"/>
              <w:left w:val="nil"/>
              <w:bottom w:val="nil"/>
              <w:right w:val="nil"/>
            </w:tcBorders>
            <w:vAlign w:val="center"/>
          </w:tcPr>
          <w:p w14:paraId="7FF3F94E" w14:textId="63AD6EE3"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12.3%</w:t>
            </w:r>
          </w:p>
        </w:tc>
      </w:tr>
      <w:tr w:rsidR="00A94BCD" w:rsidRPr="00627017" w14:paraId="509D9972"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9D0AE8C" w14:textId="10CFD9AB" w:rsidR="00A94BCD" w:rsidRPr="00627017" w:rsidRDefault="00A94BCD" w:rsidP="00A94BCD">
            <w:pPr>
              <w:spacing w:line="252" w:lineRule="auto"/>
              <w:ind w:left="62" w:right="100"/>
              <w:rPr>
                <w:rFonts w:ascii="Arial" w:hAnsi="Arial" w:cs="Arial"/>
                <w:sz w:val="20"/>
                <w:szCs w:val="20"/>
              </w:rPr>
            </w:pPr>
            <w:r w:rsidRPr="00627017">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4508B309" w14:textId="532EDB12"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1,086 </w:t>
            </w:r>
          </w:p>
        </w:tc>
        <w:tc>
          <w:tcPr>
            <w:tcW w:w="930" w:type="dxa"/>
            <w:tcBorders>
              <w:top w:val="nil"/>
              <w:left w:val="nil"/>
              <w:bottom w:val="nil"/>
              <w:right w:val="nil"/>
            </w:tcBorders>
            <w:shd w:val="clear" w:color="auto" w:fill="D5DCE4" w:themeFill="text2" w:themeFillTint="33"/>
            <w:vAlign w:val="center"/>
          </w:tcPr>
          <w:p w14:paraId="0A53D4D7" w14:textId="0CDF5472" w:rsidR="00A94BCD" w:rsidRPr="00A94BCD" w:rsidRDefault="00A94BCD" w:rsidP="00A94BCD">
            <w:pPr>
              <w:spacing w:line="252" w:lineRule="auto"/>
              <w:ind w:right="130"/>
              <w:jc w:val="right"/>
              <w:rPr>
                <w:rFonts w:ascii="Arial" w:hAnsi="Arial" w:cs="Arial"/>
                <w:sz w:val="20"/>
                <w:szCs w:val="20"/>
              </w:rPr>
            </w:pPr>
            <w:r w:rsidRPr="00A94BCD">
              <w:rPr>
                <w:rFonts w:ascii="Arial" w:hAnsi="Arial" w:cs="Arial"/>
                <w:sz w:val="20"/>
                <w:szCs w:val="20"/>
              </w:rPr>
              <w:t xml:space="preserve"> 1,096 </w:t>
            </w:r>
          </w:p>
        </w:tc>
        <w:tc>
          <w:tcPr>
            <w:tcW w:w="985" w:type="dxa"/>
            <w:tcBorders>
              <w:top w:val="nil"/>
              <w:left w:val="nil"/>
              <w:bottom w:val="nil"/>
              <w:right w:val="nil"/>
            </w:tcBorders>
            <w:shd w:val="clear" w:color="auto" w:fill="D5DCE4" w:themeFill="text2" w:themeFillTint="33"/>
            <w:vAlign w:val="center"/>
          </w:tcPr>
          <w:p w14:paraId="4D18EF35" w14:textId="09F38E28"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0.9%</w:t>
            </w:r>
          </w:p>
        </w:tc>
      </w:tr>
      <w:tr w:rsidR="00A94BCD" w:rsidRPr="00627017" w14:paraId="42ECBD06"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49149869" w14:textId="009CF0EA" w:rsidR="00A94BCD" w:rsidRPr="00627017" w:rsidRDefault="00A94BCD" w:rsidP="00A94BCD">
            <w:pPr>
              <w:spacing w:line="252" w:lineRule="auto"/>
              <w:ind w:left="62" w:right="100"/>
              <w:rPr>
                <w:rFonts w:ascii="Arial" w:hAnsi="Arial" w:cs="Arial"/>
                <w:sz w:val="20"/>
                <w:szCs w:val="20"/>
              </w:rPr>
            </w:pPr>
            <w:r w:rsidRPr="00627017">
              <w:rPr>
                <w:rFonts w:ascii="Arial" w:hAnsi="Arial" w:cs="Arial"/>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5F92D891" w14:textId="4B9EAC04"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749 </w:t>
            </w:r>
          </w:p>
        </w:tc>
        <w:tc>
          <w:tcPr>
            <w:tcW w:w="930" w:type="dxa"/>
            <w:tcBorders>
              <w:top w:val="nil"/>
              <w:left w:val="nil"/>
              <w:bottom w:val="nil"/>
              <w:right w:val="nil"/>
            </w:tcBorders>
            <w:vAlign w:val="center"/>
          </w:tcPr>
          <w:p w14:paraId="2E10A580" w14:textId="470B1D01" w:rsidR="00A94BCD" w:rsidRPr="00A94BCD" w:rsidRDefault="00A94BCD" w:rsidP="00A94BCD">
            <w:pPr>
              <w:spacing w:line="252" w:lineRule="auto"/>
              <w:ind w:right="130"/>
              <w:jc w:val="right"/>
              <w:rPr>
                <w:rFonts w:ascii="Arial" w:hAnsi="Arial" w:cs="Arial"/>
                <w:sz w:val="20"/>
                <w:szCs w:val="20"/>
              </w:rPr>
            </w:pPr>
            <w:r w:rsidRPr="00A94BCD">
              <w:rPr>
                <w:rFonts w:ascii="Arial" w:hAnsi="Arial" w:cs="Arial"/>
                <w:sz w:val="20"/>
                <w:szCs w:val="20"/>
              </w:rPr>
              <w:t xml:space="preserve"> 788 </w:t>
            </w:r>
          </w:p>
        </w:tc>
        <w:tc>
          <w:tcPr>
            <w:tcW w:w="985" w:type="dxa"/>
            <w:tcBorders>
              <w:top w:val="nil"/>
              <w:left w:val="nil"/>
              <w:bottom w:val="nil"/>
              <w:right w:val="nil"/>
            </w:tcBorders>
            <w:vAlign w:val="center"/>
          </w:tcPr>
          <w:p w14:paraId="4FA9DF6A" w14:textId="7B6667C4"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5.2%</w:t>
            </w:r>
          </w:p>
        </w:tc>
      </w:tr>
      <w:tr w:rsidR="00A94BCD" w:rsidRPr="00627017" w14:paraId="122A5C4D"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0F1C6F04" w14:textId="2D9046A0" w:rsidR="00A94BCD" w:rsidRPr="00627017" w:rsidRDefault="00A94BCD" w:rsidP="00A94BCD">
            <w:pPr>
              <w:spacing w:line="252" w:lineRule="auto"/>
              <w:ind w:left="62" w:right="100"/>
              <w:rPr>
                <w:rFonts w:ascii="Arial" w:hAnsi="Arial" w:cs="Arial"/>
                <w:sz w:val="20"/>
                <w:szCs w:val="20"/>
              </w:rPr>
            </w:pPr>
            <w:r w:rsidRPr="00627017">
              <w:rPr>
                <w:rFonts w:ascii="Arial" w:hAnsi="Arial" w:cs="Arial"/>
                <w:sz w:val="20"/>
                <w:szCs w:val="20"/>
              </w:rPr>
              <w:t>Walworth</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EF03030" w14:textId="1AE17FF6"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641 </w:t>
            </w:r>
          </w:p>
        </w:tc>
        <w:tc>
          <w:tcPr>
            <w:tcW w:w="930" w:type="dxa"/>
            <w:tcBorders>
              <w:top w:val="nil"/>
              <w:left w:val="nil"/>
              <w:bottom w:val="nil"/>
              <w:right w:val="nil"/>
            </w:tcBorders>
            <w:shd w:val="clear" w:color="auto" w:fill="D5DCE4" w:themeFill="text2" w:themeFillTint="33"/>
            <w:vAlign w:val="center"/>
          </w:tcPr>
          <w:p w14:paraId="1667CA0E" w14:textId="2FA30887" w:rsidR="00A94BCD" w:rsidRPr="00A94BCD" w:rsidRDefault="00A94BCD" w:rsidP="00A94BCD">
            <w:pPr>
              <w:spacing w:line="252" w:lineRule="auto"/>
              <w:ind w:right="130"/>
              <w:jc w:val="right"/>
              <w:rPr>
                <w:rFonts w:ascii="Arial" w:hAnsi="Arial" w:cs="Arial"/>
                <w:sz w:val="20"/>
                <w:szCs w:val="20"/>
              </w:rPr>
            </w:pPr>
            <w:r w:rsidRPr="00A94BCD">
              <w:rPr>
                <w:rFonts w:ascii="Arial" w:hAnsi="Arial" w:cs="Arial"/>
                <w:sz w:val="20"/>
                <w:szCs w:val="20"/>
              </w:rPr>
              <w:t xml:space="preserve"> 663 </w:t>
            </w:r>
          </w:p>
        </w:tc>
        <w:tc>
          <w:tcPr>
            <w:tcW w:w="985" w:type="dxa"/>
            <w:tcBorders>
              <w:top w:val="nil"/>
              <w:left w:val="nil"/>
              <w:bottom w:val="nil"/>
              <w:right w:val="nil"/>
            </w:tcBorders>
            <w:shd w:val="clear" w:color="auto" w:fill="D5DCE4" w:themeFill="text2" w:themeFillTint="33"/>
            <w:vAlign w:val="center"/>
          </w:tcPr>
          <w:p w14:paraId="26BF40EC" w14:textId="1A36E5BC"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3.4%</w:t>
            </w:r>
          </w:p>
        </w:tc>
      </w:tr>
      <w:tr w:rsidR="00A94BCD" w:rsidRPr="00627017" w14:paraId="199EA85E"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5B8378D0" w14:textId="2E24EC13" w:rsidR="00A94BCD" w:rsidRPr="00627017" w:rsidRDefault="00A94BCD" w:rsidP="00A94BCD">
            <w:pPr>
              <w:spacing w:line="252" w:lineRule="auto"/>
              <w:ind w:left="62" w:right="100"/>
              <w:rPr>
                <w:rFonts w:ascii="Arial" w:hAnsi="Arial" w:cs="Arial"/>
                <w:sz w:val="20"/>
                <w:szCs w:val="20"/>
              </w:rPr>
            </w:pPr>
            <w:r w:rsidRPr="00627017">
              <w:rPr>
                <w:rFonts w:ascii="Arial" w:hAnsi="Arial" w:cs="Arial"/>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5DBEA665" w14:textId="59E45C8E"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11,040 </w:t>
            </w:r>
          </w:p>
        </w:tc>
        <w:tc>
          <w:tcPr>
            <w:tcW w:w="930" w:type="dxa"/>
            <w:tcBorders>
              <w:top w:val="single" w:sz="4" w:space="0" w:color="auto"/>
              <w:left w:val="nil"/>
              <w:bottom w:val="nil"/>
              <w:right w:val="nil"/>
            </w:tcBorders>
            <w:vAlign w:val="center"/>
          </w:tcPr>
          <w:p w14:paraId="76024608" w14:textId="5897EA70" w:rsidR="00A94BCD" w:rsidRPr="00A94BCD" w:rsidRDefault="00A94BCD" w:rsidP="00A94BCD">
            <w:pPr>
              <w:spacing w:line="252" w:lineRule="auto"/>
              <w:ind w:right="130"/>
              <w:jc w:val="right"/>
              <w:rPr>
                <w:rFonts w:ascii="Arial" w:hAnsi="Arial" w:cs="Arial"/>
                <w:sz w:val="20"/>
                <w:szCs w:val="20"/>
              </w:rPr>
            </w:pPr>
            <w:r w:rsidRPr="00A94BCD">
              <w:rPr>
                <w:rFonts w:ascii="Arial" w:hAnsi="Arial" w:cs="Arial"/>
                <w:sz w:val="20"/>
                <w:szCs w:val="20"/>
              </w:rPr>
              <w:t xml:space="preserve"> 11,674 </w:t>
            </w:r>
          </w:p>
        </w:tc>
        <w:tc>
          <w:tcPr>
            <w:tcW w:w="985" w:type="dxa"/>
            <w:tcBorders>
              <w:top w:val="nil"/>
              <w:left w:val="nil"/>
              <w:bottom w:val="nil"/>
              <w:right w:val="nil"/>
            </w:tcBorders>
            <w:vAlign w:val="center"/>
          </w:tcPr>
          <w:p w14:paraId="50459CD6" w14:textId="281C1F2A"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5.7%</w:t>
            </w:r>
          </w:p>
        </w:tc>
      </w:tr>
      <w:tr w:rsidR="00627017" w:rsidRPr="00627017" w14:paraId="2A2218DE" w14:textId="77777777" w:rsidTr="00620A04">
        <w:trPr>
          <w:trHeight w:val="144"/>
        </w:trPr>
        <w:tc>
          <w:tcPr>
            <w:tcW w:w="4330" w:type="dxa"/>
            <w:gridSpan w:val="4"/>
            <w:tcBorders>
              <w:top w:val="nil"/>
              <w:left w:val="nil"/>
              <w:bottom w:val="nil"/>
              <w:right w:val="nil"/>
            </w:tcBorders>
            <w:tcMar>
              <w:top w:w="0" w:type="dxa"/>
              <w:left w:w="108" w:type="dxa"/>
              <w:bottom w:w="0" w:type="dxa"/>
              <w:right w:w="108" w:type="dxa"/>
            </w:tcMar>
            <w:vAlign w:val="center"/>
          </w:tcPr>
          <w:p w14:paraId="79937CA7" w14:textId="77777777" w:rsidR="00627017" w:rsidRPr="00627017" w:rsidRDefault="00627017" w:rsidP="00DC07EE">
            <w:pPr>
              <w:spacing w:line="252" w:lineRule="auto"/>
              <w:ind w:right="195"/>
              <w:rPr>
                <w:rFonts w:ascii="Arial" w:hAnsi="Arial" w:cs="Arial"/>
                <w:sz w:val="14"/>
                <w:szCs w:val="14"/>
              </w:rPr>
            </w:pPr>
          </w:p>
        </w:tc>
      </w:tr>
      <w:tr w:rsidR="00F264CF" w:rsidRPr="00627017" w14:paraId="4EF55532" w14:textId="77777777" w:rsidTr="00620A04">
        <w:trPr>
          <w:trHeight w:val="360"/>
        </w:trPr>
        <w:tc>
          <w:tcPr>
            <w:tcW w:w="4330" w:type="dxa"/>
            <w:gridSpan w:val="4"/>
            <w:tcBorders>
              <w:top w:val="nil"/>
              <w:left w:val="nil"/>
              <w:bottom w:val="single" w:sz="8" w:space="0" w:color="FFFFFF" w:themeColor="background1"/>
              <w:right w:val="nil"/>
            </w:tcBorders>
            <w:tcMar>
              <w:top w:w="0" w:type="dxa"/>
              <w:left w:w="108" w:type="dxa"/>
              <w:bottom w:w="0" w:type="dxa"/>
              <w:right w:w="108" w:type="dxa"/>
            </w:tcMar>
            <w:vAlign w:val="center"/>
          </w:tcPr>
          <w:p w14:paraId="4063C7D0" w14:textId="07AE2AB5" w:rsidR="00F264CF" w:rsidRPr="00D42F01" w:rsidRDefault="00A94BCD" w:rsidP="00133D00">
            <w:pPr>
              <w:spacing w:line="252" w:lineRule="auto"/>
              <w:ind w:left="-14" w:right="-15"/>
              <w:rPr>
                <w:rFonts w:ascii="Arial" w:hAnsi="Arial" w:cs="Arial"/>
                <w:sz w:val="22"/>
              </w:rPr>
            </w:pPr>
            <w:r>
              <w:rPr>
                <w:rFonts w:ascii="Arial" w:hAnsi="Arial" w:cs="Arial"/>
                <w:b/>
                <w:bCs/>
                <w:sz w:val="22"/>
              </w:rPr>
              <w:t>June</w:t>
            </w:r>
            <w:r w:rsidR="00F264CF" w:rsidRPr="00D42F01">
              <w:rPr>
                <w:rFonts w:ascii="Arial" w:hAnsi="Arial" w:cs="Arial"/>
                <w:b/>
                <w:bCs/>
                <w:sz w:val="22"/>
              </w:rPr>
              <w:t xml:space="preserve"> </w:t>
            </w:r>
            <w:r w:rsidR="00BD05F0" w:rsidRPr="00D42F01">
              <w:rPr>
                <w:rFonts w:ascii="Arial" w:hAnsi="Arial" w:cs="Arial"/>
                <w:b/>
                <w:bCs/>
                <w:sz w:val="22"/>
              </w:rPr>
              <w:t>Sale</w:t>
            </w:r>
            <w:r w:rsidR="00043760" w:rsidRPr="00D42F01">
              <w:rPr>
                <w:rFonts w:ascii="Arial" w:hAnsi="Arial" w:cs="Arial"/>
                <w:b/>
                <w:bCs/>
                <w:sz w:val="22"/>
              </w:rPr>
              <w:t>s</w:t>
            </w:r>
          </w:p>
        </w:tc>
      </w:tr>
      <w:tr w:rsidR="00513B1A" w:rsidRPr="00627017" w14:paraId="41B9A98A" w14:textId="77777777" w:rsidTr="00620A04">
        <w:trPr>
          <w:trHeight w:val="288"/>
        </w:trPr>
        <w:tc>
          <w:tcPr>
            <w:tcW w:w="145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514C8D82" w14:textId="3F1C9345" w:rsidR="00513B1A" w:rsidRPr="00627017" w:rsidRDefault="00513B1A" w:rsidP="00513B1A">
            <w:pPr>
              <w:spacing w:line="252" w:lineRule="auto"/>
              <w:ind w:left="62" w:right="100"/>
              <w:rPr>
                <w:rFonts w:ascii="Arial" w:hAnsi="Arial" w:cs="Arial"/>
                <w:color w:val="FFFFFF" w:themeColor="background1"/>
                <w:sz w:val="20"/>
                <w:szCs w:val="20"/>
              </w:rPr>
            </w:pPr>
            <w:r w:rsidRPr="00627017">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64D92B70" w14:textId="535BBE51" w:rsidR="00513B1A" w:rsidRPr="00627017" w:rsidRDefault="00513B1A" w:rsidP="00513B1A">
            <w:pPr>
              <w:spacing w:line="252" w:lineRule="auto"/>
              <w:ind w:left="44" w:right="62"/>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6D2AF9">
              <w:rPr>
                <w:rFonts w:ascii="Arial" w:hAnsi="Arial" w:cs="Arial"/>
                <w:color w:val="FFFFFF" w:themeColor="background1"/>
                <w:sz w:val="20"/>
                <w:szCs w:val="20"/>
              </w:rPr>
              <w:t>5</w:t>
            </w:r>
          </w:p>
        </w:tc>
        <w:tc>
          <w:tcPr>
            <w:tcW w:w="930" w:type="dxa"/>
            <w:tcBorders>
              <w:top w:val="nil"/>
              <w:left w:val="single" w:sz="12" w:space="0" w:color="FFFFFF"/>
              <w:bottom w:val="nil"/>
              <w:right w:val="single" w:sz="12" w:space="0" w:color="FFFFFF"/>
            </w:tcBorders>
            <w:shd w:val="clear" w:color="auto" w:fill="1F4E79"/>
            <w:vAlign w:val="center"/>
          </w:tcPr>
          <w:p w14:paraId="4F05FF4B" w14:textId="188E5ECF" w:rsidR="00513B1A" w:rsidRPr="00627017" w:rsidRDefault="00513B1A" w:rsidP="00513B1A">
            <w:pPr>
              <w:spacing w:line="252" w:lineRule="auto"/>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6D2AF9">
              <w:rPr>
                <w:rFonts w:ascii="Arial" w:hAnsi="Arial" w:cs="Arial"/>
                <w:color w:val="FFFFFF" w:themeColor="background1"/>
                <w:sz w:val="20"/>
                <w:szCs w:val="20"/>
              </w:rPr>
              <w:t>6</w:t>
            </w:r>
          </w:p>
        </w:tc>
        <w:tc>
          <w:tcPr>
            <w:tcW w:w="985" w:type="dxa"/>
            <w:tcBorders>
              <w:top w:val="nil"/>
              <w:left w:val="single" w:sz="12" w:space="0" w:color="FFFFFF"/>
              <w:bottom w:val="nil"/>
              <w:right w:val="nil"/>
            </w:tcBorders>
            <w:shd w:val="clear" w:color="auto" w:fill="1F4E79"/>
            <w:vAlign w:val="center"/>
          </w:tcPr>
          <w:p w14:paraId="341FC447" w14:textId="08536757" w:rsidR="00513B1A" w:rsidRPr="00627017" w:rsidRDefault="00DB59A4" w:rsidP="00513B1A">
            <w:pPr>
              <w:spacing w:line="252" w:lineRule="auto"/>
              <w:ind w:right="15"/>
              <w:jc w:val="center"/>
              <w:rPr>
                <w:rFonts w:ascii="Arial" w:hAnsi="Arial" w:cs="Arial"/>
                <w:color w:val="FFFFFF" w:themeColor="background1"/>
                <w:sz w:val="20"/>
                <w:szCs w:val="20"/>
              </w:rPr>
            </w:pPr>
            <w:r w:rsidRPr="00DB59A4">
              <w:rPr>
                <w:rFonts w:ascii="Arial Narrow" w:hAnsi="Arial Narrow" w:cs="Arial"/>
                <w:color w:val="FFFFFF" w:themeColor="background1"/>
                <w:sz w:val="20"/>
                <w:szCs w:val="20"/>
              </w:rPr>
              <w:t>% Change</w:t>
            </w:r>
          </w:p>
        </w:tc>
      </w:tr>
      <w:tr w:rsidR="00A94BCD" w:rsidRPr="00627017" w14:paraId="1AA23907" w14:textId="77777777" w:rsidTr="00A94BCD">
        <w:trPr>
          <w:trHeight w:val="288"/>
        </w:trPr>
        <w:tc>
          <w:tcPr>
            <w:tcW w:w="1452" w:type="dxa"/>
            <w:tcBorders>
              <w:top w:val="single" w:sz="8" w:space="0" w:color="FFFFFF" w:themeColor="background1"/>
              <w:left w:val="nil"/>
              <w:bottom w:val="nil"/>
              <w:right w:val="nil"/>
            </w:tcBorders>
            <w:tcMar>
              <w:top w:w="0" w:type="dxa"/>
              <w:left w:w="108" w:type="dxa"/>
              <w:bottom w:w="0" w:type="dxa"/>
              <w:right w:w="108" w:type="dxa"/>
            </w:tcMar>
            <w:vAlign w:val="center"/>
          </w:tcPr>
          <w:p w14:paraId="565C3387" w14:textId="7112F323"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Milwaukee</w:t>
            </w:r>
          </w:p>
        </w:tc>
        <w:tc>
          <w:tcPr>
            <w:tcW w:w="963" w:type="dxa"/>
            <w:tcBorders>
              <w:top w:val="single" w:sz="8" w:space="0" w:color="FFFFFF" w:themeColor="background1"/>
              <w:left w:val="nil"/>
              <w:bottom w:val="nil"/>
              <w:right w:val="nil"/>
            </w:tcBorders>
            <w:tcMar>
              <w:top w:w="0" w:type="dxa"/>
              <w:left w:w="108" w:type="dxa"/>
              <w:bottom w:w="0" w:type="dxa"/>
              <w:right w:w="108" w:type="dxa"/>
            </w:tcMar>
            <w:vAlign w:val="center"/>
          </w:tcPr>
          <w:p w14:paraId="3B363139" w14:textId="34FDDB69"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987</w:t>
            </w:r>
          </w:p>
        </w:tc>
        <w:tc>
          <w:tcPr>
            <w:tcW w:w="930" w:type="dxa"/>
            <w:tcBorders>
              <w:top w:val="single" w:sz="8" w:space="0" w:color="FFFFFF" w:themeColor="background1"/>
              <w:left w:val="nil"/>
              <w:bottom w:val="nil"/>
              <w:right w:val="nil"/>
            </w:tcBorders>
            <w:vAlign w:val="center"/>
          </w:tcPr>
          <w:p w14:paraId="4B6FA7B2" w14:textId="1D81CB6B"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1075</w:t>
            </w:r>
          </w:p>
        </w:tc>
        <w:tc>
          <w:tcPr>
            <w:tcW w:w="985" w:type="dxa"/>
            <w:tcBorders>
              <w:top w:val="single" w:sz="8" w:space="0" w:color="FFFFFF" w:themeColor="background1"/>
              <w:left w:val="nil"/>
              <w:bottom w:val="nil"/>
              <w:right w:val="nil"/>
            </w:tcBorders>
            <w:vAlign w:val="center"/>
          </w:tcPr>
          <w:p w14:paraId="158140DE" w14:textId="2FE88114"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8.9%</w:t>
            </w:r>
          </w:p>
        </w:tc>
      </w:tr>
      <w:tr w:rsidR="00A94BCD" w:rsidRPr="00627017" w14:paraId="57BCDE15"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4EC6416C" w14:textId="6A2A5A43" w:rsidR="00A94BCD" w:rsidRPr="00627017" w:rsidRDefault="00A94BCD" w:rsidP="00A94BCD">
            <w:pPr>
              <w:spacing w:line="252" w:lineRule="auto"/>
              <w:ind w:left="62" w:right="100"/>
              <w:rPr>
                <w:rFonts w:ascii="Arial" w:hAnsi="Arial" w:cs="Arial"/>
                <w:sz w:val="20"/>
                <w:szCs w:val="20"/>
              </w:rPr>
            </w:pPr>
            <w:r>
              <w:rPr>
                <w:rFonts w:ascii="Arial" w:hAnsi="Arial" w:cs="Arial"/>
                <w:color w:val="000000"/>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2C930A4" w14:textId="492FD0E4"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542</w:t>
            </w:r>
          </w:p>
        </w:tc>
        <w:tc>
          <w:tcPr>
            <w:tcW w:w="930" w:type="dxa"/>
            <w:tcBorders>
              <w:top w:val="nil"/>
              <w:left w:val="nil"/>
              <w:bottom w:val="nil"/>
              <w:right w:val="nil"/>
            </w:tcBorders>
            <w:shd w:val="clear" w:color="auto" w:fill="D5DCE4" w:themeFill="text2" w:themeFillTint="33"/>
            <w:vAlign w:val="center"/>
          </w:tcPr>
          <w:p w14:paraId="789B2F76" w14:textId="6AF57E62"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582</w:t>
            </w:r>
          </w:p>
        </w:tc>
        <w:tc>
          <w:tcPr>
            <w:tcW w:w="985" w:type="dxa"/>
            <w:tcBorders>
              <w:top w:val="nil"/>
              <w:left w:val="nil"/>
              <w:bottom w:val="nil"/>
              <w:right w:val="nil"/>
            </w:tcBorders>
            <w:shd w:val="clear" w:color="auto" w:fill="D5DCE4" w:themeFill="text2" w:themeFillTint="33"/>
            <w:vAlign w:val="center"/>
          </w:tcPr>
          <w:p w14:paraId="7478C224" w14:textId="485C6FCA"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7.4%</w:t>
            </w:r>
          </w:p>
        </w:tc>
      </w:tr>
      <w:tr w:rsidR="00A94BCD" w:rsidRPr="00627017" w14:paraId="355A5DBE"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141817EA" w14:textId="1BC528FC"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7492F775" w14:textId="42104D29"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125</w:t>
            </w:r>
          </w:p>
        </w:tc>
        <w:tc>
          <w:tcPr>
            <w:tcW w:w="930" w:type="dxa"/>
            <w:tcBorders>
              <w:top w:val="nil"/>
              <w:left w:val="nil"/>
              <w:bottom w:val="nil"/>
              <w:right w:val="nil"/>
            </w:tcBorders>
            <w:vAlign w:val="center"/>
          </w:tcPr>
          <w:p w14:paraId="4AD890D5" w14:textId="1DA51641"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137</w:t>
            </w:r>
          </w:p>
        </w:tc>
        <w:tc>
          <w:tcPr>
            <w:tcW w:w="985" w:type="dxa"/>
            <w:tcBorders>
              <w:top w:val="nil"/>
              <w:left w:val="nil"/>
              <w:bottom w:val="nil"/>
              <w:right w:val="nil"/>
            </w:tcBorders>
            <w:vAlign w:val="center"/>
          </w:tcPr>
          <w:p w14:paraId="71391152" w14:textId="5D0F8687"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9.6%</w:t>
            </w:r>
          </w:p>
        </w:tc>
      </w:tr>
      <w:tr w:rsidR="00A94BCD" w:rsidRPr="00627017" w14:paraId="64E87CC5" w14:textId="77777777" w:rsidTr="00A94BCD">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6529B104" w14:textId="4DF0D63F" w:rsidR="00A94BCD" w:rsidRPr="00627017" w:rsidRDefault="00A94BCD" w:rsidP="00A94BCD">
            <w:pPr>
              <w:spacing w:line="252" w:lineRule="auto"/>
              <w:ind w:left="62" w:right="100"/>
              <w:rPr>
                <w:rFonts w:ascii="Arial" w:hAnsi="Arial" w:cs="Arial"/>
                <w:sz w:val="20"/>
                <w:szCs w:val="20"/>
              </w:rPr>
            </w:pPr>
            <w:r>
              <w:rPr>
                <w:rFonts w:ascii="Arial" w:hAnsi="Arial" w:cs="Arial"/>
                <w:color w:val="000000"/>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527AC7B0" w14:textId="6456DB16"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186</w:t>
            </w:r>
          </w:p>
        </w:tc>
        <w:tc>
          <w:tcPr>
            <w:tcW w:w="930" w:type="dxa"/>
            <w:tcBorders>
              <w:top w:val="nil"/>
              <w:left w:val="nil"/>
              <w:bottom w:val="single" w:sz="4" w:space="0" w:color="auto"/>
              <w:right w:val="nil"/>
            </w:tcBorders>
            <w:shd w:val="clear" w:color="auto" w:fill="D5DCE4" w:themeFill="text2" w:themeFillTint="33"/>
            <w:vAlign w:val="center"/>
          </w:tcPr>
          <w:p w14:paraId="32E30A01" w14:textId="239CB337"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226</w:t>
            </w:r>
          </w:p>
        </w:tc>
        <w:tc>
          <w:tcPr>
            <w:tcW w:w="985" w:type="dxa"/>
            <w:tcBorders>
              <w:top w:val="nil"/>
              <w:left w:val="nil"/>
              <w:bottom w:val="nil"/>
              <w:right w:val="nil"/>
            </w:tcBorders>
            <w:shd w:val="clear" w:color="auto" w:fill="D5DCE4" w:themeFill="text2" w:themeFillTint="33"/>
            <w:vAlign w:val="center"/>
          </w:tcPr>
          <w:p w14:paraId="4B039E9B" w14:textId="43899154"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21.5%</w:t>
            </w:r>
          </w:p>
        </w:tc>
      </w:tr>
      <w:tr w:rsidR="00A94BCD" w:rsidRPr="00627017" w14:paraId="45CEE296"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7ADA86C2" w14:textId="7A275E9B"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4ECB9C3C" w14:textId="7E531162"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1,840</w:t>
            </w:r>
          </w:p>
        </w:tc>
        <w:tc>
          <w:tcPr>
            <w:tcW w:w="930" w:type="dxa"/>
            <w:tcBorders>
              <w:top w:val="single" w:sz="4" w:space="0" w:color="auto"/>
              <w:left w:val="nil"/>
              <w:bottom w:val="nil"/>
              <w:right w:val="nil"/>
            </w:tcBorders>
            <w:vAlign w:val="center"/>
          </w:tcPr>
          <w:p w14:paraId="7B60732E" w14:textId="43CB47A2"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2,020</w:t>
            </w:r>
          </w:p>
        </w:tc>
        <w:tc>
          <w:tcPr>
            <w:tcW w:w="985" w:type="dxa"/>
            <w:tcBorders>
              <w:top w:val="nil"/>
              <w:left w:val="nil"/>
              <w:bottom w:val="nil"/>
              <w:right w:val="nil"/>
            </w:tcBorders>
            <w:vAlign w:val="center"/>
          </w:tcPr>
          <w:p w14:paraId="3E2FAB64" w14:textId="4013A65D"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9.8%</w:t>
            </w:r>
          </w:p>
        </w:tc>
      </w:tr>
      <w:tr w:rsidR="009B1B42" w:rsidRPr="00627017" w14:paraId="619B4396" w14:textId="77777777" w:rsidTr="00A94BCD">
        <w:trPr>
          <w:trHeight w:val="86"/>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00EEBB7C" w14:textId="5C992EAE" w:rsidR="009B1B42" w:rsidRPr="00627017" w:rsidRDefault="009B1B42" w:rsidP="00A94BCD">
            <w:pPr>
              <w:spacing w:line="252" w:lineRule="auto"/>
              <w:ind w:right="195"/>
              <w:jc w:val="right"/>
              <w:rPr>
                <w:rFonts w:ascii="Arial" w:hAnsi="Arial" w:cs="Arial"/>
                <w:sz w:val="10"/>
                <w:szCs w:val="10"/>
              </w:rPr>
            </w:pPr>
            <w:r>
              <w:rPr>
                <w:rFonts w:ascii="Arial" w:hAnsi="Arial" w:cs="Arial"/>
                <w:sz w:val="10"/>
                <w:szCs w:val="10"/>
              </w:rPr>
              <w:t> </w:t>
            </w:r>
          </w:p>
        </w:tc>
      </w:tr>
      <w:tr w:rsidR="00A94BCD" w:rsidRPr="00627017" w14:paraId="68627583"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0C757BF9" w14:textId="608FCDDF"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7924516A" w14:textId="594B14E8"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115</w:t>
            </w:r>
          </w:p>
        </w:tc>
        <w:tc>
          <w:tcPr>
            <w:tcW w:w="930" w:type="dxa"/>
            <w:tcBorders>
              <w:top w:val="nil"/>
              <w:left w:val="nil"/>
              <w:bottom w:val="nil"/>
              <w:right w:val="nil"/>
            </w:tcBorders>
            <w:vAlign w:val="center"/>
          </w:tcPr>
          <w:p w14:paraId="32084A6E" w14:textId="0399A4A7"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147</w:t>
            </w:r>
          </w:p>
        </w:tc>
        <w:tc>
          <w:tcPr>
            <w:tcW w:w="985" w:type="dxa"/>
            <w:tcBorders>
              <w:top w:val="nil"/>
              <w:left w:val="nil"/>
              <w:bottom w:val="nil"/>
              <w:right w:val="nil"/>
            </w:tcBorders>
            <w:vAlign w:val="center"/>
          </w:tcPr>
          <w:p w14:paraId="031C1BC8" w14:textId="2DD9A178"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27.8%</w:t>
            </w:r>
          </w:p>
        </w:tc>
      </w:tr>
      <w:tr w:rsidR="00A94BCD" w:rsidRPr="00627017" w14:paraId="43BFC7D0"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95548DD" w14:textId="6F4B9541"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6E7F665" w14:textId="5329E3D1"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227</w:t>
            </w:r>
          </w:p>
        </w:tc>
        <w:tc>
          <w:tcPr>
            <w:tcW w:w="930" w:type="dxa"/>
            <w:tcBorders>
              <w:top w:val="nil"/>
              <w:left w:val="nil"/>
              <w:bottom w:val="nil"/>
              <w:right w:val="nil"/>
            </w:tcBorders>
            <w:shd w:val="clear" w:color="auto" w:fill="D5DCE4" w:themeFill="text2" w:themeFillTint="33"/>
            <w:vAlign w:val="center"/>
          </w:tcPr>
          <w:p w14:paraId="43559378" w14:textId="1D0C76A5"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246</w:t>
            </w:r>
          </w:p>
        </w:tc>
        <w:tc>
          <w:tcPr>
            <w:tcW w:w="985" w:type="dxa"/>
            <w:tcBorders>
              <w:top w:val="nil"/>
              <w:left w:val="nil"/>
              <w:bottom w:val="nil"/>
              <w:right w:val="nil"/>
            </w:tcBorders>
            <w:shd w:val="clear" w:color="auto" w:fill="D5DCE4" w:themeFill="text2" w:themeFillTint="33"/>
            <w:vAlign w:val="center"/>
          </w:tcPr>
          <w:p w14:paraId="45074A72" w14:textId="162E06FB"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8.4%</w:t>
            </w:r>
          </w:p>
        </w:tc>
      </w:tr>
      <w:tr w:rsidR="00A94BCD" w:rsidRPr="00627017" w14:paraId="74C7B9C3"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3DEEBEF3" w14:textId="37FC6789" w:rsidR="00A94BCD" w:rsidRPr="00627017" w:rsidRDefault="00A94BCD" w:rsidP="00A94BCD">
            <w:pPr>
              <w:spacing w:line="252" w:lineRule="auto"/>
              <w:ind w:left="62" w:right="100"/>
              <w:rPr>
                <w:rFonts w:ascii="Arial" w:hAnsi="Arial" w:cs="Arial"/>
                <w:sz w:val="20"/>
                <w:szCs w:val="20"/>
              </w:rPr>
            </w:pPr>
            <w:r>
              <w:rPr>
                <w:rFonts w:ascii="Arial" w:hAnsi="Arial" w:cs="Arial"/>
                <w:color w:val="000000"/>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60E2E2C3" w14:textId="52C9E2F9"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160</w:t>
            </w:r>
          </w:p>
        </w:tc>
        <w:tc>
          <w:tcPr>
            <w:tcW w:w="930" w:type="dxa"/>
            <w:tcBorders>
              <w:top w:val="nil"/>
              <w:left w:val="nil"/>
              <w:bottom w:val="nil"/>
              <w:right w:val="nil"/>
            </w:tcBorders>
            <w:vAlign w:val="center"/>
          </w:tcPr>
          <w:p w14:paraId="6EC2C9D9" w14:textId="1BD547A9"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179</w:t>
            </w:r>
          </w:p>
        </w:tc>
        <w:tc>
          <w:tcPr>
            <w:tcW w:w="985" w:type="dxa"/>
            <w:tcBorders>
              <w:top w:val="nil"/>
              <w:left w:val="nil"/>
              <w:bottom w:val="nil"/>
              <w:right w:val="nil"/>
            </w:tcBorders>
            <w:vAlign w:val="center"/>
          </w:tcPr>
          <w:p w14:paraId="41C6701C" w14:textId="661865CD"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11.9%</w:t>
            </w:r>
          </w:p>
        </w:tc>
      </w:tr>
      <w:tr w:rsidR="00A94BCD" w:rsidRPr="00627017" w14:paraId="719D3710" w14:textId="77777777" w:rsidTr="00A94BCD">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11B17492" w14:textId="13860387" w:rsidR="00A94BCD" w:rsidRPr="00627017" w:rsidRDefault="00A94BCD" w:rsidP="00A94BCD">
            <w:pPr>
              <w:spacing w:line="252" w:lineRule="auto"/>
              <w:ind w:left="62" w:right="100"/>
              <w:rPr>
                <w:rFonts w:ascii="Arial" w:hAnsi="Arial" w:cs="Arial"/>
                <w:sz w:val="20"/>
                <w:szCs w:val="20"/>
              </w:rPr>
            </w:pPr>
            <w:r>
              <w:rPr>
                <w:rFonts w:ascii="Arial" w:hAnsi="Arial" w:cs="Arial"/>
                <w:sz w:val="20"/>
                <w:szCs w:val="20"/>
              </w:rPr>
              <w:t>Walworth</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7C7520C1" w14:textId="7CB7F309"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134</w:t>
            </w:r>
          </w:p>
        </w:tc>
        <w:tc>
          <w:tcPr>
            <w:tcW w:w="930" w:type="dxa"/>
            <w:tcBorders>
              <w:top w:val="nil"/>
              <w:left w:val="nil"/>
              <w:bottom w:val="single" w:sz="4" w:space="0" w:color="auto"/>
              <w:right w:val="nil"/>
            </w:tcBorders>
            <w:shd w:val="clear" w:color="auto" w:fill="D5DCE4" w:themeFill="text2" w:themeFillTint="33"/>
            <w:vAlign w:val="center"/>
          </w:tcPr>
          <w:p w14:paraId="0F38483E" w14:textId="17ADDBBA"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185</w:t>
            </w:r>
          </w:p>
        </w:tc>
        <w:tc>
          <w:tcPr>
            <w:tcW w:w="985" w:type="dxa"/>
            <w:tcBorders>
              <w:top w:val="nil"/>
              <w:left w:val="nil"/>
              <w:bottom w:val="nil"/>
              <w:right w:val="nil"/>
            </w:tcBorders>
            <w:shd w:val="clear" w:color="auto" w:fill="D5DCE4" w:themeFill="text2" w:themeFillTint="33"/>
            <w:vAlign w:val="center"/>
          </w:tcPr>
          <w:p w14:paraId="7D383D86" w14:textId="54D3E348"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38.1%</w:t>
            </w:r>
          </w:p>
        </w:tc>
      </w:tr>
      <w:tr w:rsidR="00A94BCD" w:rsidRPr="00627017" w14:paraId="72FD5738"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034C7451" w14:textId="542B4A21" w:rsidR="00A94BCD" w:rsidRDefault="00A94BCD" w:rsidP="00A94BCD">
            <w:pPr>
              <w:spacing w:line="252" w:lineRule="auto"/>
              <w:ind w:left="62" w:right="100"/>
              <w:rPr>
                <w:rFonts w:ascii="Arial" w:hAnsi="Arial" w:cs="Arial"/>
                <w:sz w:val="20"/>
                <w:szCs w:val="20"/>
              </w:rPr>
            </w:pPr>
            <w:r>
              <w:rPr>
                <w:rFonts w:ascii="Arial" w:hAnsi="Arial" w:cs="Arial"/>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2716EAF2" w14:textId="5CDB0431"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2,476</w:t>
            </w:r>
          </w:p>
        </w:tc>
        <w:tc>
          <w:tcPr>
            <w:tcW w:w="930" w:type="dxa"/>
            <w:tcBorders>
              <w:top w:val="single" w:sz="4" w:space="0" w:color="auto"/>
              <w:left w:val="nil"/>
              <w:bottom w:val="nil"/>
              <w:right w:val="nil"/>
            </w:tcBorders>
            <w:vAlign w:val="center"/>
          </w:tcPr>
          <w:p w14:paraId="353FFD24" w14:textId="0A3A8D42" w:rsidR="00A94BCD" w:rsidRPr="00A94BCD" w:rsidRDefault="00A94BCD" w:rsidP="00A94BCD">
            <w:pPr>
              <w:spacing w:line="252" w:lineRule="auto"/>
              <w:ind w:right="110"/>
              <w:jc w:val="right"/>
              <w:rPr>
                <w:rFonts w:ascii="Arial" w:hAnsi="Arial" w:cs="Arial"/>
                <w:sz w:val="20"/>
                <w:szCs w:val="20"/>
              </w:rPr>
            </w:pPr>
            <w:r w:rsidRPr="00A94BCD">
              <w:rPr>
                <w:rFonts w:ascii="Arial" w:hAnsi="Arial" w:cs="Arial"/>
                <w:sz w:val="20"/>
                <w:szCs w:val="20"/>
              </w:rPr>
              <w:t>2,777</w:t>
            </w:r>
          </w:p>
        </w:tc>
        <w:tc>
          <w:tcPr>
            <w:tcW w:w="985" w:type="dxa"/>
            <w:tcBorders>
              <w:top w:val="nil"/>
              <w:left w:val="nil"/>
              <w:bottom w:val="nil"/>
              <w:right w:val="nil"/>
            </w:tcBorders>
            <w:vAlign w:val="center"/>
          </w:tcPr>
          <w:p w14:paraId="72DF1389" w14:textId="416FE815"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12.2%</w:t>
            </w:r>
          </w:p>
        </w:tc>
      </w:tr>
    </w:tbl>
    <w:p w14:paraId="7F2D578B" w14:textId="3963909A" w:rsidR="00E913B2" w:rsidRPr="00BF0DA5" w:rsidRDefault="00E913B2" w:rsidP="00BF0DA5">
      <w:pPr>
        <w:pStyle w:val="ParagraphIntro"/>
      </w:pPr>
      <w:r w:rsidRPr="00BF0DA5">
        <w:t>Market Summary</w:t>
      </w:r>
    </w:p>
    <w:p w14:paraId="0F98D64D" w14:textId="1A0D76B3" w:rsidR="00AE6E14" w:rsidRPr="00DF7DFC" w:rsidRDefault="00F00818" w:rsidP="00F00818">
      <w:pPr>
        <w:rPr>
          <w:szCs w:val="21"/>
        </w:rPr>
      </w:pPr>
      <w:r w:rsidRPr="00DF7DFC">
        <w:rPr>
          <w:szCs w:val="21"/>
        </w:rPr>
        <w:t xml:space="preserve">Home sales </w:t>
      </w:r>
      <w:r w:rsidR="00AE6E14" w:rsidRPr="00DF7DFC">
        <w:rPr>
          <w:szCs w:val="21"/>
        </w:rPr>
        <w:t xml:space="preserve">jumped </w:t>
      </w:r>
      <w:r w:rsidR="003E2937">
        <w:rPr>
          <w:szCs w:val="21"/>
        </w:rPr>
        <w:t>9</w:t>
      </w:r>
      <w:r w:rsidR="00AE6E14" w:rsidRPr="00DF7DFC">
        <w:rPr>
          <w:szCs w:val="21"/>
        </w:rPr>
        <w:t>.</w:t>
      </w:r>
      <w:r w:rsidR="003E2937">
        <w:rPr>
          <w:szCs w:val="21"/>
        </w:rPr>
        <w:t>8</w:t>
      </w:r>
      <w:r w:rsidR="00AE6E14" w:rsidRPr="00DF7DFC">
        <w:rPr>
          <w:szCs w:val="21"/>
        </w:rPr>
        <w:t xml:space="preserve">% in </w:t>
      </w:r>
      <w:r w:rsidR="00A94BCD">
        <w:rPr>
          <w:szCs w:val="21"/>
        </w:rPr>
        <w:t>June</w:t>
      </w:r>
      <w:r w:rsidR="00AE6E14" w:rsidRPr="00DF7DFC">
        <w:rPr>
          <w:szCs w:val="21"/>
        </w:rPr>
        <w:t xml:space="preserve"> </w:t>
      </w:r>
      <w:r w:rsidRPr="00DF7DFC">
        <w:rPr>
          <w:szCs w:val="21"/>
        </w:rPr>
        <w:t>in the Metropolitan Milwaukee market</w:t>
      </w:r>
      <w:r w:rsidR="00AE6E14" w:rsidRPr="00DF7DFC">
        <w:rPr>
          <w:szCs w:val="21"/>
        </w:rPr>
        <w:t xml:space="preserve">. Sales were also up </w:t>
      </w:r>
      <w:r w:rsidR="003E2937">
        <w:rPr>
          <w:szCs w:val="21"/>
        </w:rPr>
        <w:t xml:space="preserve">a </w:t>
      </w:r>
      <w:r w:rsidR="0071768A">
        <w:rPr>
          <w:szCs w:val="21"/>
        </w:rPr>
        <w:t xml:space="preserve">brisk </w:t>
      </w:r>
      <w:r w:rsidR="003E2937">
        <w:rPr>
          <w:szCs w:val="21"/>
        </w:rPr>
        <w:t>6</w:t>
      </w:r>
      <w:r w:rsidR="00AE6E14" w:rsidRPr="00DF7DFC">
        <w:rPr>
          <w:szCs w:val="21"/>
        </w:rPr>
        <w:t>.</w:t>
      </w:r>
      <w:r w:rsidR="00FF7B96">
        <w:rPr>
          <w:szCs w:val="21"/>
        </w:rPr>
        <w:t>2</w:t>
      </w:r>
      <w:r w:rsidR="00AE6E14" w:rsidRPr="00DF7DFC">
        <w:rPr>
          <w:szCs w:val="21"/>
        </w:rPr>
        <w:t>%</w:t>
      </w:r>
      <w:r w:rsidRPr="00DF7DFC">
        <w:rPr>
          <w:szCs w:val="21"/>
        </w:rPr>
        <w:t xml:space="preserve"> </w:t>
      </w:r>
      <w:r w:rsidR="00AE6E14" w:rsidRPr="00DF7DFC">
        <w:rPr>
          <w:szCs w:val="21"/>
        </w:rPr>
        <w:t xml:space="preserve">through the </w:t>
      </w:r>
      <w:r w:rsidR="003E2937">
        <w:rPr>
          <w:szCs w:val="21"/>
        </w:rPr>
        <w:t>second</w:t>
      </w:r>
      <w:r w:rsidR="00AE6E14" w:rsidRPr="00DF7DFC">
        <w:rPr>
          <w:szCs w:val="21"/>
        </w:rPr>
        <w:t xml:space="preserve"> quarter of 2026.</w:t>
      </w:r>
    </w:p>
    <w:p w14:paraId="4CE3C656" w14:textId="77777777" w:rsidR="00AE6E14" w:rsidRPr="00DF7DFC" w:rsidRDefault="00AE6E14" w:rsidP="00F00818">
      <w:pPr>
        <w:rPr>
          <w:szCs w:val="21"/>
        </w:rPr>
      </w:pPr>
    </w:p>
    <w:p w14:paraId="4C52D08B" w14:textId="7F5FED1E" w:rsidR="001572B6" w:rsidRDefault="001572B6" w:rsidP="00F00818">
      <w:pPr>
        <w:rPr>
          <w:szCs w:val="21"/>
        </w:rPr>
      </w:pPr>
      <w:r>
        <w:rPr>
          <w:szCs w:val="21"/>
        </w:rPr>
        <w:t>June marked the f</w:t>
      </w:r>
      <w:r w:rsidR="00FF7B96">
        <w:rPr>
          <w:szCs w:val="21"/>
        </w:rPr>
        <w:t>ifth</w:t>
      </w:r>
      <w:r>
        <w:rPr>
          <w:szCs w:val="21"/>
        </w:rPr>
        <w:t xml:space="preserve"> month i</w:t>
      </w:r>
      <w:r w:rsidR="0071768A">
        <w:rPr>
          <w:szCs w:val="21"/>
        </w:rPr>
        <w:t>n</w:t>
      </w:r>
      <w:r>
        <w:rPr>
          <w:szCs w:val="21"/>
        </w:rPr>
        <w:t xml:space="preserve"> a row of positive sales </w:t>
      </w:r>
      <w:r w:rsidR="0071768A">
        <w:rPr>
          <w:szCs w:val="21"/>
        </w:rPr>
        <w:t>for</w:t>
      </w:r>
      <w:r>
        <w:rPr>
          <w:szCs w:val="21"/>
        </w:rPr>
        <w:t xml:space="preserve"> 2026. </w:t>
      </w:r>
      <w:r w:rsidR="0071768A">
        <w:rPr>
          <w:szCs w:val="21"/>
        </w:rPr>
        <w:t>And t</w:t>
      </w:r>
      <w:r>
        <w:rPr>
          <w:szCs w:val="21"/>
        </w:rPr>
        <w:t xml:space="preserve">hrough the second quarter the market </w:t>
      </w:r>
      <w:r w:rsidR="00FF7B96">
        <w:rPr>
          <w:szCs w:val="21"/>
        </w:rPr>
        <w:t>saw</w:t>
      </w:r>
      <w:r>
        <w:rPr>
          <w:szCs w:val="21"/>
        </w:rPr>
        <w:t xml:space="preserve"> 5</w:t>
      </w:r>
      <w:r w:rsidR="000158C6">
        <w:rPr>
          <w:szCs w:val="21"/>
        </w:rPr>
        <w:t>01</w:t>
      </w:r>
      <w:r>
        <w:rPr>
          <w:szCs w:val="21"/>
        </w:rPr>
        <w:t xml:space="preserve"> additional sales compared to 2025</w:t>
      </w:r>
      <w:r w:rsidR="0065136D">
        <w:rPr>
          <w:szCs w:val="21"/>
        </w:rPr>
        <w:t>. Both measures are</w:t>
      </w:r>
      <w:r>
        <w:rPr>
          <w:szCs w:val="21"/>
        </w:rPr>
        <w:t xml:space="preserve"> solid trend</w:t>
      </w:r>
      <w:r w:rsidR="0065136D">
        <w:rPr>
          <w:szCs w:val="21"/>
        </w:rPr>
        <w:t>s</w:t>
      </w:r>
      <w:r>
        <w:rPr>
          <w:szCs w:val="21"/>
        </w:rPr>
        <w:t xml:space="preserve"> that w</w:t>
      </w:r>
      <w:r w:rsidR="0065136D">
        <w:rPr>
          <w:szCs w:val="21"/>
        </w:rPr>
        <w:t>e</w:t>
      </w:r>
      <w:r>
        <w:rPr>
          <w:szCs w:val="21"/>
        </w:rPr>
        <w:t xml:space="preserve"> hope</w:t>
      </w:r>
      <w:r w:rsidR="0065136D">
        <w:rPr>
          <w:szCs w:val="21"/>
        </w:rPr>
        <w:t xml:space="preserve"> will</w:t>
      </w:r>
      <w:r>
        <w:rPr>
          <w:szCs w:val="21"/>
        </w:rPr>
        <w:t xml:space="preserve"> continue. </w:t>
      </w:r>
    </w:p>
    <w:p w14:paraId="35F603F8" w14:textId="77777777" w:rsidR="001572B6" w:rsidRDefault="001572B6" w:rsidP="00F00818">
      <w:pPr>
        <w:rPr>
          <w:szCs w:val="21"/>
        </w:rPr>
      </w:pPr>
    </w:p>
    <w:p w14:paraId="446DDA0A" w14:textId="6D1BDA08" w:rsidR="009A666F" w:rsidRPr="00DF7DFC" w:rsidRDefault="009A666F" w:rsidP="00F00818">
      <w:pPr>
        <w:rPr>
          <w:szCs w:val="21"/>
        </w:rPr>
      </w:pPr>
      <w:r w:rsidRPr="00DF7DFC">
        <w:rPr>
          <w:szCs w:val="21"/>
        </w:rPr>
        <w:t>The</w:t>
      </w:r>
      <w:r w:rsidR="000158C6">
        <w:rPr>
          <w:szCs w:val="21"/>
        </w:rPr>
        <w:t xml:space="preserve">re is also positive news </w:t>
      </w:r>
      <w:r w:rsidRPr="00DF7DFC">
        <w:rPr>
          <w:szCs w:val="21"/>
        </w:rPr>
        <w:t xml:space="preserve">on the listing side. The </w:t>
      </w:r>
      <w:r w:rsidR="000158C6">
        <w:rPr>
          <w:szCs w:val="21"/>
        </w:rPr>
        <w:t xml:space="preserve">four-county area </w:t>
      </w:r>
      <w:r w:rsidRPr="00DF7DFC">
        <w:rPr>
          <w:szCs w:val="21"/>
        </w:rPr>
        <w:t xml:space="preserve">saw </w:t>
      </w:r>
      <w:r w:rsidR="000158C6">
        <w:rPr>
          <w:szCs w:val="21"/>
        </w:rPr>
        <w:t xml:space="preserve">a 7.3% increase in listings in June and </w:t>
      </w:r>
      <w:r w:rsidR="00D04759">
        <w:rPr>
          <w:szCs w:val="21"/>
        </w:rPr>
        <w:t xml:space="preserve">10.6% </w:t>
      </w:r>
      <w:r w:rsidR="0071768A" w:rsidRPr="00DF7DFC">
        <w:rPr>
          <w:szCs w:val="21"/>
        </w:rPr>
        <w:t xml:space="preserve">through the </w:t>
      </w:r>
      <w:r w:rsidR="0071768A">
        <w:rPr>
          <w:szCs w:val="21"/>
        </w:rPr>
        <w:t>second</w:t>
      </w:r>
      <w:r w:rsidR="0071768A" w:rsidRPr="00DF7DFC">
        <w:rPr>
          <w:szCs w:val="21"/>
        </w:rPr>
        <w:t xml:space="preserve"> quarter</w:t>
      </w:r>
      <w:r w:rsidR="0071768A">
        <w:rPr>
          <w:szCs w:val="21"/>
        </w:rPr>
        <w:t xml:space="preserve">, </w:t>
      </w:r>
      <w:r w:rsidR="000158C6">
        <w:rPr>
          <w:szCs w:val="21"/>
        </w:rPr>
        <w:t>1,187 more</w:t>
      </w:r>
      <w:r w:rsidR="0071768A">
        <w:rPr>
          <w:szCs w:val="21"/>
        </w:rPr>
        <w:t xml:space="preserve"> units. </w:t>
      </w:r>
    </w:p>
    <w:p w14:paraId="0AF6F00C" w14:textId="3E0703E7" w:rsidR="009A666F" w:rsidRDefault="00DF7DFC" w:rsidP="00F00818">
      <w:r>
        <w:rPr>
          <w:noProof/>
        </w:rPr>
        <mc:AlternateContent>
          <mc:Choice Requires="wps">
            <w:drawing>
              <wp:anchor distT="0" distB="0" distL="114300" distR="114300" simplePos="0" relativeHeight="251668480" behindDoc="0" locked="0" layoutInCell="1" allowOverlap="1" wp14:anchorId="0485B078" wp14:editId="23B3A6B2">
                <wp:simplePos x="0" y="0"/>
                <wp:positionH relativeFrom="column">
                  <wp:posOffset>9524</wp:posOffset>
                </wp:positionH>
                <wp:positionV relativeFrom="paragraph">
                  <wp:posOffset>95885</wp:posOffset>
                </wp:positionV>
                <wp:extent cx="2752725" cy="0"/>
                <wp:effectExtent l="0" t="0" r="0" b="0"/>
                <wp:wrapNone/>
                <wp:docPr id="1755968963" name="Straight Connector 3"/>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A087F"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7.55pt" to="21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" strokecolor="black [3200]" strokeweight=".5pt">
                <v:stroke joinstyle="miter"/>
              </v:line>
            </w:pict>
          </mc:Fallback>
        </mc:AlternateContent>
      </w:r>
    </w:p>
    <w:p w14:paraId="1FC548B6" w14:textId="1B32B25F" w:rsidR="00225E0C" w:rsidRPr="00225E0C" w:rsidRDefault="003E15DD" w:rsidP="00F00818">
      <w:pPr>
        <w:rPr>
          <w:b/>
          <w:bCs/>
          <w:sz w:val="32"/>
          <w:szCs w:val="32"/>
        </w:rPr>
      </w:pPr>
      <w:r w:rsidRPr="003E15DD">
        <w:rPr>
          <w:b/>
          <w:bCs/>
          <w:sz w:val="32"/>
          <w:szCs w:val="32"/>
        </w:rPr>
        <w:t>Prices in the four-county area were up 5.7% through the second quarter, yielding an average price of $483,551, a $25,978 change</w:t>
      </w:r>
      <w:r w:rsidR="00225E0C" w:rsidRPr="00225E0C">
        <w:rPr>
          <w:b/>
          <w:bCs/>
          <w:sz w:val="32"/>
          <w:szCs w:val="32"/>
        </w:rPr>
        <w:t>.</w:t>
      </w:r>
    </w:p>
    <w:p w14:paraId="37B6776F" w14:textId="522A00AF" w:rsidR="00225E0C" w:rsidRDefault="00DF7DFC" w:rsidP="00F00818">
      <w:r>
        <w:rPr>
          <w:noProof/>
        </w:rPr>
        <mc:AlternateContent>
          <mc:Choice Requires="wps">
            <w:drawing>
              <wp:anchor distT="0" distB="0" distL="114300" distR="114300" simplePos="0" relativeHeight="251670528" behindDoc="0" locked="0" layoutInCell="1" allowOverlap="1" wp14:anchorId="160E6839" wp14:editId="0D9913BD">
                <wp:simplePos x="0" y="0"/>
                <wp:positionH relativeFrom="column">
                  <wp:posOffset>9525</wp:posOffset>
                </wp:positionH>
                <wp:positionV relativeFrom="paragraph">
                  <wp:posOffset>72390</wp:posOffset>
                </wp:positionV>
                <wp:extent cx="2752725" cy="0"/>
                <wp:effectExtent l="0" t="0" r="0" b="0"/>
                <wp:wrapNone/>
                <wp:docPr id="1040332284" name="Straight Connector 3"/>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1D1F94"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5.7pt" to="21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" strokecolor="black [3200]" strokeweight=".5pt">
                <v:stroke joinstyle="miter"/>
              </v:line>
            </w:pict>
          </mc:Fallback>
        </mc:AlternateContent>
      </w:r>
    </w:p>
    <w:p w14:paraId="52733416" w14:textId="45196621" w:rsidR="00F00818" w:rsidRDefault="0071768A" w:rsidP="00F00818">
      <w:r>
        <w:t xml:space="preserve">For </w:t>
      </w:r>
      <w:r w:rsidR="00277DD7">
        <w:t xml:space="preserve">the </w:t>
      </w:r>
      <w:r w:rsidR="00D04759">
        <w:t>first half of 2026</w:t>
      </w:r>
      <w:r w:rsidR="00277DD7">
        <w:t xml:space="preserve">, </w:t>
      </w:r>
      <w:r w:rsidR="004E4655">
        <w:t xml:space="preserve">Milwaukee and </w:t>
      </w:r>
      <w:r w:rsidR="00277DD7">
        <w:t>Waukesha Count</w:t>
      </w:r>
      <w:r w:rsidR="004E4655">
        <w:t>ies</w:t>
      </w:r>
      <w:r w:rsidR="00277DD7">
        <w:t xml:space="preserve"> </w:t>
      </w:r>
      <w:r w:rsidR="004E4655">
        <w:t xml:space="preserve">lead the way </w:t>
      </w:r>
      <w:r w:rsidR="00277DD7">
        <w:t xml:space="preserve">with </w:t>
      </w:r>
      <w:r w:rsidR="00D04759">
        <w:t xml:space="preserve">an </w:t>
      </w:r>
      <w:r w:rsidR="004E4655">
        <w:t xml:space="preserve">11.5% and 10.5% </w:t>
      </w:r>
      <w:r w:rsidR="00277DD7">
        <w:t>increase</w:t>
      </w:r>
      <w:r w:rsidR="004E4655">
        <w:t xml:space="preserve"> in listings, respectively</w:t>
      </w:r>
      <w:r w:rsidR="00277DD7">
        <w:t xml:space="preserve">, </w:t>
      </w:r>
      <w:r>
        <w:t xml:space="preserve">amid </w:t>
      </w:r>
      <w:r w:rsidR="00277DD7">
        <w:t>an overall increase of 1</w:t>
      </w:r>
      <w:r w:rsidR="004E4655">
        <w:t>0</w:t>
      </w:r>
      <w:r w:rsidR="00277DD7">
        <w:t>.</w:t>
      </w:r>
      <w:r w:rsidR="004E4655">
        <w:t>6</w:t>
      </w:r>
      <w:r w:rsidR="00277DD7">
        <w:t xml:space="preserve">% </w:t>
      </w:r>
      <w:r w:rsidR="006E47E9">
        <w:t>in</w:t>
      </w:r>
      <w:r w:rsidR="00F00818">
        <w:t xml:space="preserve"> the four-county area.</w:t>
      </w:r>
    </w:p>
    <w:p w14:paraId="6E7B9231" w14:textId="77777777" w:rsidR="00F00818" w:rsidRDefault="00F00818" w:rsidP="00F00818"/>
    <w:tbl>
      <w:tblPr>
        <w:tblpPr w:leftFromText="288" w:rightFromText="72" w:bottomFromText="115" w:vertAnchor="text" w:horzAnchor="margin" w:tblpXSpec="right" w:tblpY="97"/>
        <w:tblW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2"/>
        <w:gridCol w:w="963"/>
        <w:gridCol w:w="922"/>
        <w:gridCol w:w="993"/>
      </w:tblGrid>
      <w:tr w:rsidR="00DF7DFC" w:rsidRPr="00D42F01" w14:paraId="2B06E92E" w14:textId="77777777" w:rsidTr="00DF7DFC">
        <w:trPr>
          <w:trHeight w:val="360"/>
        </w:trPr>
        <w:tc>
          <w:tcPr>
            <w:tcW w:w="4330" w:type="dxa"/>
            <w:gridSpan w:val="4"/>
            <w:tcBorders>
              <w:top w:val="nil"/>
              <w:left w:val="nil"/>
              <w:bottom w:val="nil"/>
              <w:right w:val="nil"/>
            </w:tcBorders>
            <w:tcMar>
              <w:top w:w="0" w:type="dxa"/>
              <w:left w:w="108" w:type="dxa"/>
              <w:bottom w:w="0" w:type="dxa"/>
              <w:right w:w="108" w:type="dxa"/>
            </w:tcMar>
            <w:vAlign w:val="center"/>
            <w:hideMark/>
          </w:tcPr>
          <w:p w14:paraId="43C9AD37" w14:textId="5F6C2A8E" w:rsidR="00DF7DFC" w:rsidRPr="00D42F01" w:rsidRDefault="00A94BCD" w:rsidP="00A94BCD">
            <w:pPr>
              <w:spacing w:line="252" w:lineRule="auto"/>
              <w:ind w:left="-20" w:right="-90"/>
              <w:rPr>
                <w:rFonts w:ascii="Arial" w:hAnsi="Arial" w:cs="Arial"/>
                <w:b/>
                <w:sz w:val="20"/>
                <w:szCs w:val="20"/>
              </w:rPr>
            </w:pPr>
            <w:r>
              <w:rPr>
                <w:rFonts w:ascii="Arial" w:hAnsi="Arial" w:cs="Arial"/>
                <w:b/>
                <w:sz w:val="22"/>
              </w:rPr>
              <w:lastRenderedPageBreak/>
              <w:t>2</w:t>
            </w:r>
            <w:r w:rsidRPr="00A94BCD">
              <w:rPr>
                <w:rFonts w:ascii="Arial" w:hAnsi="Arial" w:cs="Arial"/>
                <w:b/>
                <w:sz w:val="22"/>
                <w:vertAlign w:val="superscript"/>
              </w:rPr>
              <w:t>nd</w:t>
            </w:r>
            <w:r>
              <w:rPr>
                <w:rFonts w:ascii="Arial" w:hAnsi="Arial" w:cs="Arial"/>
                <w:b/>
                <w:sz w:val="22"/>
              </w:rPr>
              <w:t xml:space="preserve"> </w:t>
            </w:r>
            <w:r w:rsidR="00DF7DFC">
              <w:rPr>
                <w:rFonts w:ascii="Arial" w:hAnsi="Arial" w:cs="Arial"/>
                <w:b/>
                <w:sz w:val="22"/>
              </w:rPr>
              <w:t>Qtr Listings</w:t>
            </w:r>
            <w:r w:rsidR="00DF7DFC">
              <w:rPr>
                <w:rFonts w:ascii="Arial" w:hAnsi="Arial" w:cs="Arial"/>
                <w:b/>
                <w:sz w:val="24"/>
                <w:szCs w:val="24"/>
              </w:rPr>
              <w:t xml:space="preserve"> </w:t>
            </w:r>
            <w:r w:rsidR="00DF7DFC" w:rsidRPr="005C3BB5">
              <w:rPr>
                <w:rFonts w:ascii="Arial" w:eastAsia="Calibri" w:hAnsi="Arial" w:cs="Arial"/>
                <w:bCs/>
                <w:sz w:val="18"/>
                <w:szCs w:val="18"/>
              </w:rPr>
              <w:t xml:space="preserve">(Jan 1 – </w:t>
            </w:r>
            <w:r>
              <w:rPr>
                <w:rFonts w:ascii="Arial" w:eastAsia="Calibri" w:hAnsi="Arial" w:cs="Arial"/>
                <w:bCs/>
                <w:sz w:val="18"/>
                <w:szCs w:val="18"/>
              </w:rPr>
              <w:t xml:space="preserve">Jun </w:t>
            </w:r>
            <w:r w:rsidR="00DF7DFC" w:rsidRPr="005C3BB5">
              <w:rPr>
                <w:rFonts w:ascii="Arial" w:eastAsia="Calibri" w:hAnsi="Arial" w:cs="Arial"/>
                <w:bCs/>
                <w:sz w:val="18"/>
                <w:szCs w:val="18"/>
              </w:rPr>
              <w:t>3</w:t>
            </w:r>
            <w:r>
              <w:rPr>
                <w:rFonts w:ascii="Arial" w:eastAsia="Calibri" w:hAnsi="Arial" w:cs="Arial"/>
                <w:bCs/>
                <w:sz w:val="18"/>
                <w:szCs w:val="18"/>
              </w:rPr>
              <w:t>0</w:t>
            </w:r>
            <w:r w:rsidR="00DF7DFC" w:rsidRPr="005C3BB5">
              <w:rPr>
                <w:rFonts w:ascii="Arial" w:eastAsia="Calibri" w:hAnsi="Arial" w:cs="Arial"/>
                <w:bCs/>
                <w:sz w:val="18"/>
                <w:szCs w:val="18"/>
              </w:rPr>
              <w:t>)</w:t>
            </w:r>
          </w:p>
        </w:tc>
      </w:tr>
      <w:tr w:rsidR="00DF7DFC" w:rsidRPr="00D42F01" w14:paraId="73A076F5" w14:textId="77777777" w:rsidTr="00DF7DFC">
        <w:trPr>
          <w:trHeight w:val="288"/>
        </w:trPr>
        <w:tc>
          <w:tcPr>
            <w:tcW w:w="1452" w:type="dxa"/>
            <w:tcBorders>
              <w:top w:val="nil"/>
              <w:left w:val="nil"/>
              <w:bottom w:val="nil"/>
              <w:right w:val="single" w:sz="12" w:space="0" w:color="FFFFFF"/>
            </w:tcBorders>
            <w:shd w:val="clear" w:color="auto" w:fill="1F4E79"/>
            <w:vAlign w:val="center"/>
            <w:hideMark/>
          </w:tcPr>
          <w:p w14:paraId="432C4727" w14:textId="77777777" w:rsidR="00DF7DFC" w:rsidRPr="00D42F01" w:rsidRDefault="00DF7DFC" w:rsidP="00DF7DFC">
            <w:pPr>
              <w:ind w:left="175" w:right="100"/>
              <w:rPr>
                <w:rFonts w:ascii="Arial" w:hAnsi="Arial" w:cs="Arial"/>
                <w:bCs/>
                <w:color w:val="FFFFFF" w:themeColor="background1"/>
                <w:sz w:val="20"/>
                <w:szCs w:val="20"/>
              </w:rPr>
            </w:pPr>
            <w:r w:rsidRPr="00D42F01">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14B27AE9" w14:textId="77777777" w:rsidR="00DF7DFC" w:rsidRPr="00D42F01" w:rsidRDefault="00DF7DFC" w:rsidP="00DF7DFC">
            <w:pPr>
              <w:spacing w:line="207" w:lineRule="atLeast"/>
              <w:ind w:left="44" w:right="62"/>
              <w:jc w:val="center"/>
              <w:rPr>
                <w:rFonts w:ascii="Arial" w:hAnsi="Arial" w:cs="Arial"/>
                <w:color w:val="FFFFFF" w:themeColor="background1"/>
                <w:sz w:val="20"/>
                <w:szCs w:val="20"/>
              </w:rPr>
            </w:pPr>
            <w:r w:rsidRPr="00D42F01">
              <w:rPr>
                <w:rFonts w:ascii="Arial" w:hAnsi="Arial" w:cs="Arial"/>
                <w:color w:val="FFFFFF" w:themeColor="background1"/>
                <w:sz w:val="20"/>
                <w:szCs w:val="20"/>
              </w:rPr>
              <w:t>202</w:t>
            </w:r>
            <w:r>
              <w:rPr>
                <w:rFonts w:ascii="Arial" w:hAnsi="Arial" w:cs="Arial"/>
                <w:color w:val="FFFFFF" w:themeColor="background1"/>
                <w:sz w:val="20"/>
                <w:szCs w:val="20"/>
              </w:rPr>
              <w:t>5</w:t>
            </w:r>
          </w:p>
        </w:tc>
        <w:tc>
          <w:tcPr>
            <w:tcW w:w="922"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1E220B06" w14:textId="77777777" w:rsidR="00DF7DFC" w:rsidRPr="00D42F01" w:rsidRDefault="00DF7DFC" w:rsidP="00DF7DFC">
            <w:pPr>
              <w:spacing w:line="207" w:lineRule="atLeast"/>
              <w:ind w:right="-23"/>
              <w:jc w:val="center"/>
              <w:rPr>
                <w:rFonts w:ascii="Arial" w:hAnsi="Arial" w:cs="Arial"/>
                <w:color w:val="FFFFFF" w:themeColor="background1"/>
                <w:sz w:val="20"/>
                <w:szCs w:val="20"/>
              </w:rPr>
            </w:pPr>
            <w:r w:rsidRPr="00D42F01">
              <w:rPr>
                <w:rFonts w:ascii="Arial" w:hAnsi="Arial" w:cs="Arial"/>
                <w:color w:val="FFFFFF" w:themeColor="background1"/>
                <w:sz w:val="20"/>
                <w:szCs w:val="20"/>
              </w:rPr>
              <w:t>202</w:t>
            </w:r>
            <w:r>
              <w:rPr>
                <w:rFonts w:ascii="Arial" w:hAnsi="Arial" w:cs="Arial"/>
                <w:color w:val="FFFFFF" w:themeColor="background1"/>
                <w:sz w:val="20"/>
                <w:szCs w:val="20"/>
              </w:rPr>
              <w:t>6</w:t>
            </w:r>
          </w:p>
        </w:tc>
        <w:tc>
          <w:tcPr>
            <w:tcW w:w="993" w:type="dxa"/>
            <w:tcBorders>
              <w:top w:val="nil"/>
              <w:left w:val="single" w:sz="12" w:space="0" w:color="FFFFFF"/>
              <w:bottom w:val="nil"/>
              <w:right w:val="nil"/>
            </w:tcBorders>
            <w:shd w:val="clear" w:color="auto" w:fill="1F4E79"/>
            <w:vAlign w:val="center"/>
          </w:tcPr>
          <w:p w14:paraId="1B0D9882" w14:textId="77777777" w:rsidR="00DF7DFC" w:rsidRPr="00D42F01" w:rsidRDefault="00DF7DFC" w:rsidP="00DF7DFC">
            <w:pPr>
              <w:ind w:right="15"/>
              <w:jc w:val="center"/>
              <w:rPr>
                <w:rFonts w:ascii="Arial" w:hAnsi="Arial" w:cs="Arial"/>
                <w:color w:val="FFFFFF" w:themeColor="background1"/>
                <w:sz w:val="20"/>
                <w:szCs w:val="20"/>
              </w:rPr>
            </w:pPr>
            <w:r w:rsidRPr="00DB59A4">
              <w:rPr>
                <w:rFonts w:ascii="Arial Narrow" w:hAnsi="Arial Narrow" w:cs="Arial"/>
                <w:color w:val="FFFFFF" w:themeColor="background1"/>
                <w:sz w:val="20"/>
                <w:szCs w:val="20"/>
              </w:rPr>
              <w:t>% Change</w:t>
            </w:r>
          </w:p>
        </w:tc>
      </w:tr>
      <w:tr w:rsidR="00A94BCD" w:rsidRPr="00D42F01" w14:paraId="06E0AA71"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6E009CFF"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Milwaukee</w:t>
            </w:r>
          </w:p>
        </w:tc>
        <w:tc>
          <w:tcPr>
            <w:tcW w:w="963" w:type="dxa"/>
            <w:tcBorders>
              <w:top w:val="nil"/>
              <w:left w:val="nil"/>
              <w:bottom w:val="nil"/>
              <w:right w:val="nil"/>
            </w:tcBorders>
            <w:tcMar>
              <w:top w:w="0" w:type="dxa"/>
              <w:left w:w="108" w:type="dxa"/>
              <w:bottom w:w="0" w:type="dxa"/>
              <w:right w:w="108" w:type="dxa"/>
            </w:tcMar>
            <w:vAlign w:val="center"/>
          </w:tcPr>
          <w:p w14:paraId="2893D68D" w14:textId="6713E87B"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6,411 </w:t>
            </w:r>
          </w:p>
        </w:tc>
        <w:tc>
          <w:tcPr>
            <w:tcW w:w="922" w:type="dxa"/>
            <w:tcBorders>
              <w:top w:val="nil"/>
              <w:left w:val="nil"/>
              <w:bottom w:val="nil"/>
              <w:right w:val="nil"/>
            </w:tcBorders>
            <w:tcMar>
              <w:top w:w="0" w:type="dxa"/>
              <w:left w:w="108" w:type="dxa"/>
              <w:bottom w:w="0" w:type="dxa"/>
              <w:right w:w="108" w:type="dxa"/>
            </w:tcMar>
            <w:vAlign w:val="center"/>
          </w:tcPr>
          <w:p w14:paraId="4A9AB910" w14:textId="55F9F51D" w:rsidR="00A94BCD" w:rsidRPr="00A94BCD" w:rsidRDefault="00A94BCD" w:rsidP="00A94BCD">
            <w:pPr>
              <w:spacing w:line="252" w:lineRule="auto"/>
              <w:ind w:right="-10"/>
              <w:jc w:val="right"/>
              <w:rPr>
                <w:rFonts w:ascii="Arial" w:hAnsi="Arial" w:cs="Arial"/>
                <w:sz w:val="20"/>
                <w:szCs w:val="20"/>
              </w:rPr>
            </w:pPr>
            <w:r w:rsidRPr="00A94BCD">
              <w:rPr>
                <w:rFonts w:ascii="Arial" w:hAnsi="Arial" w:cs="Arial"/>
                <w:sz w:val="20"/>
                <w:szCs w:val="20"/>
              </w:rPr>
              <w:t xml:space="preserve"> 7,150 </w:t>
            </w:r>
          </w:p>
        </w:tc>
        <w:tc>
          <w:tcPr>
            <w:tcW w:w="993" w:type="dxa"/>
            <w:tcBorders>
              <w:top w:val="nil"/>
              <w:left w:val="nil"/>
              <w:bottom w:val="nil"/>
              <w:right w:val="nil"/>
            </w:tcBorders>
            <w:vAlign w:val="center"/>
          </w:tcPr>
          <w:p w14:paraId="2CBA6C7C" w14:textId="56195955"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11.5%</w:t>
            </w:r>
          </w:p>
        </w:tc>
      </w:tr>
      <w:tr w:rsidR="00A94BCD" w:rsidRPr="00D42F01" w14:paraId="3E06957B"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hideMark/>
          </w:tcPr>
          <w:p w14:paraId="73F758E9"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31AD4C2" w14:textId="76345072"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3,026 </w:t>
            </w:r>
          </w:p>
        </w:tc>
        <w:tc>
          <w:tcPr>
            <w:tcW w:w="92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76108E4" w14:textId="08C641FF" w:rsidR="00A94BCD" w:rsidRPr="00A94BCD" w:rsidRDefault="00A94BCD" w:rsidP="00A94BCD">
            <w:pPr>
              <w:spacing w:line="252" w:lineRule="auto"/>
              <w:ind w:right="-10"/>
              <w:jc w:val="right"/>
              <w:rPr>
                <w:rFonts w:ascii="Arial" w:hAnsi="Arial" w:cs="Arial"/>
                <w:sz w:val="20"/>
                <w:szCs w:val="20"/>
              </w:rPr>
            </w:pPr>
            <w:r w:rsidRPr="00A94BCD">
              <w:rPr>
                <w:rFonts w:ascii="Arial" w:hAnsi="Arial" w:cs="Arial"/>
                <w:sz w:val="20"/>
                <w:szCs w:val="20"/>
              </w:rPr>
              <w:t xml:space="preserve"> 3,344 </w:t>
            </w:r>
          </w:p>
        </w:tc>
        <w:tc>
          <w:tcPr>
            <w:tcW w:w="993" w:type="dxa"/>
            <w:tcBorders>
              <w:top w:val="nil"/>
              <w:left w:val="nil"/>
              <w:bottom w:val="nil"/>
              <w:right w:val="nil"/>
            </w:tcBorders>
            <w:shd w:val="clear" w:color="auto" w:fill="D5DCE4" w:themeFill="text2" w:themeFillTint="33"/>
            <w:vAlign w:val="center"/>
          </w:tcPr>
          <w:p w14:paraId="109EFAC2" w14:textId="4BE99598"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10.5%</w:t>
            </w:r>
          </w:p>
        </w:tc>
      </w:tr>
      <w:tr w:rsidR="00A94BCD" w:rsidRPr="00D42F01" w14:paraId="07B73223"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1DA16195"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5329590F" w14:textId="7B16968E"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693 </w:t>
            </w:r>
          </w:p>
        </w:tc>
        <w:tc>
          <w:tcPr>
            <w:tcW w:w="922" w:type="dxa"/>
            <w:tcBorders>
              <w:top w:val="nil"/>
              <w:left w:val="nil"/>
              <w:bottom w:val="nil"/>
              <w:right w:val="nil"/>
            </w:tcBorders>
            <w:tcMar>
              <w:top w:w="0" w:type="dxa"/>
              <w:left w:w="108" w:type="dxa"/>
              <w:bottom w:w="0" w:type="dxa"/>
              <w:right w:w="108" w:type="dxa"/>
            </w:tcMar>
            <w:vAlign w:val="center"/>
          </w:tcPr>
          <w:p w14:paraId="744A7CAC" w14:textId="481B8E22" w:rsidR="00A94BCD" w:rsidRPr="00A94BCD" w:rsidRDefault="00A94BCD" w:rsidP="00A94BCD">
            <w:pPr>
              <w:spacing w:line="252" w:lineRule="auto"/>
              <w:ind w:right="-10"/>
              <w:jc w:val="right"/>
              <w:rPr>
                <w:rFonts w:ascii="Arial" w:hAnsi="Arial" w:cs="Arial"/>
                <w:sz w:val="20"/>
                <w:szCs w:val="20"/>
              </w:rPr>
            </w:pPr>
            <w:r w:rsidRPr="00A94BCD">
              <w:rPr>
                <w:rFonts w:ascii="Arial" w:hAnsi="Arial" w:cs="Arial"/>
                <w:sz w:val="20"/>
                <w:szCs w:val="20"/>
              </w:rPr>
              <w:t xml:space="preserve"> 761 </w:t>
            </w:r>
          </w:p>
        </w:tc>
        <w:tc>
          <w:tcPr>
            <w:tcW w:w="993" w:type="dxa"/>
            <w:tcBorders>
              <w:top w:val="nil"/>
              <w:left w:val="nil"/>
              <w:bottom w:val="nil"/>
              <w:right w:val="nil"/>
            </w:tcBorders>
            <w:vAlign w:val="center"/>
          </w:tcPr>
          <w:p w14:paraId="689DC5B9" w14:textId="02342F05"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9.8%</w:t>
            </w:r>
          </w:p>
        </w:tc>
      </w:tr>
      <w:tr w:rsidR="00A94BCD" w:rsidRPr="00D42F01" w14:paraId="37A24687" w14:textId="77777777" w:rsidTr="00A94BCD">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hideMark/>
          </w:tcPr>
          <w:p w14:paraId="1A0B19B8"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36E679BE" w14:textId="406B206A"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 1,036 </w:t>
            </w:r>
          </w:p>
        </w:tc>
        <w:tc>
          <w:tcPr>
            <w:tcW w:w="92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42D935F4" w14:textId="403D75E3" w:rsidR="00A94BCD" w:rsidRPr="00A94BCD" w:rsidRDefault="00A94BCD" w:rsidP="00A94BCD">
            <w:pPr>
              <w:spacing w:line="252" w:lineRule="auto"/>
              <w:ind w:right="-10"/>
              <w:jc w:val="right"/>
              <w:rPr>
                <w:rFonts w:ascii="Arial" w:hAnsi="Arial" w:cs="Arial"/>
                <w:sz w:val="20"/>
                <w:szCs w:val="20"/>
              </w:rPr>
            </w:pPr>
            <w:r w:rsidRPr="00A94BCD">
              <w:rPr>
                <w:rFonts w:ascii="Arial" w:hAnsi="Arial" w:cs="Arial"/>
                <w:sz w:val="20"/>
                <w:szCs w:val="20"/>
              </w:rPr>
              <w:t xml:space="preserve"> 1,098 </w:t>
            </w:r>
          </w:p>
        </w:tc>
        <w:tc>
          <w:tcPr>
            <w:tcW w:w="993" w:type="dxa"/>
            <w:tcBorders>
              <w:top w:val="nil"/>
              <w:left w:val="nil"/>
              <w:bottom w:val="nil"/>
              <w:right w:val="nil"/>
            </w:tcBorders>
            <w:shd w:val="clear" w:color="auto" w:fill="D5DCE4" w:themeFill="text2" w:themeFillTint="33"/>
            <w:vAlign w:val="center"/>
          </w:tcPr>
          <w:p w14:paraId="21F7B9DE" w14:textId="0B787C38"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6.0%</w:t>
            </w:r>
          </w:p>
        </w:tc>
      </w:tr>
      <w:tr w:rsidR="00A94BCD" w:rsidRPr="00D42F01" w14:paraId="22CDD4EA"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hideMark/>
          </w:tcPr>
          <w:p w14:paraId="67786A74"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1198D3F0" w14:textId="4752282C"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 xml:space="preserve">11,166 </w:t>
            </w:r>
          </w:p>
        </w:tc>
        <w:tc>
          <w:tcPr>
            <w:tcW w:w="922" w:type="dxa"/>
            <w:tcBorders>
              <w:top w:val="single" w:sz="4" w:space="0" w:color="auto"/>
              <w:left w:val="nil"/>
              <w:bottom w:val="nil"/>
              <w:right w:val="nil"/>
            </w:tcBorders>
            <w:tcMar>
              <w:top w:w="0" w:type="dxa"/>
              <w:left w:w="108" w:type="dxa"/>
              <w:bottom w:w="0" w:type="dxa"/>
              <w:right w:w="108" w:type="dxa"/>
            </w:tcMar>
            <w:vAlign w:val="center"/>
          </w:tcPr>
          <w:p w14:paraId="2F0751F7" w14:textId="133F3DDB" w:rsidR="00A94BCD" w:rsidRPr="00A94BCD" w:rsidRDefault="00A94BCD" w:rsidP="00A94BCD">
            <w:pPr>
              <w:spacing w:line="252" w:lineRule="auto"/>
              <w:ind w:right="-10"/>
              <w:jc w:val="right"/>
              <w:rPr>
                <w:rFonts w:ascii="Arial" w:hAnsi="Arial" w:cs="Arial"/>
                <w:sz w:val="20"/>
                <w:szCs w:val="20"/>
              </w:rPr>
            </w:pPr>
            <w:r w:rsidRPr="00A94BCD">
              <w:rPr>
                <w:rFonts w:ascii="Arial" w:hAnsi="Arial" w:cs="Arial"/>
                <w:sz w:val="20"/>
                <w:szCs w:val="20"/>
              </w:rPr>
              <w:t xml:space="preserve"> 12,353 </w:t>
            </w:r>
          </w:p>
        </w:tc>
        <w:tc>
          <w:tcPr>
            <w:tcW w:w="993" w:type="dxa"/>
            <w:tcBorders>
              <w:top w:val="nil"/>
              <w:left w:val="nil"/>
              <w:bottom w:val="nil"/>
              <w:right w:val="nil"/>
            </w:tcBorders>
            <w:vAlign w:val="center"/>
          </w:tcPr>
          <w:p w14:paraId="46E037EA" w14:textId="0EEAFF94"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10.6%</w:t>
            </w:r>
          </w:p>
        </w:tc>
      </w:tr>
      <w:tr w:rsidR="00DF7DFC" w:rsidRPr="00D42F01" w14:paraId="0BECBDF7" w14:textId="77777777" w:rsidTr="00A94BCD">
        <w:trPr>
          <w:trHeight w:val="80"/>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4D6DE4BB" w14:textId="77777777" w:rsidR="00DF7DFC" w:rsidRPr="00620A04" w:rsidRDefault="00DF7DFC" w:rsidP="00A94BCD">
            <w:pPr>
              <w:spacing w:line="252" w:lineRule="auto"/>
              <w:ind w:right="195"/>
              <w:jc w:val="right"/>
              <w:rPr>
                <w:rFonts w:ascii="Arial" w:hAnsi="Arial" w:cs="Arial"/>
                <w:sz w:val="10"/>
                <w:szCs w:val="10"/>
              </w:rPr>
            </w:pPr>
          </w:p>
        </w:tc>
      </w:tr>
      <w:tr w:rsidR="00A94BCD" w:rsidRPr="00D42F01" w14:paraId="286B5696"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14407304"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07892278" w14:textId="6850BF3F"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687 </w:t>
            </w:r>
          </w:p>
        </w:tc>
        <w:tc>
          <w:tcPr>
            <w:tcW w:w="922" w:type="dxa"/>
            <w:tcBorders>
              <w:top w:val="nil"/>
              <w:left w:val="nil"/>
              <w:bottom w:val="nil"/>
              <w:right w:val="nil"/>
            </w:tcBorders>
            <w:vAlign w:val="center"/>
          </w:tcPr>
          <w:p w14:paraId="32FC0A0B" w14:textId="49FC43D5"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756 </w:t>
            </w:r>
          </w:p>
        </w:tc>
        <w:tc>
          <w:tcPr>
            <w:tcW w:w="993" w:type="dxa"/>
            <w:tcBorders>
              <w:top w:val="nil"/>
              <w:left w:val="nil"/>
              <w:bottom w:val="nil"/>
              <w:right w:val="nil"/>
            </w:tcBorders>
            <w:vAlign w:val="center"/>
          </w:tcPr>
          <w:p w14:paraId="0A1A2789" w14:textId="719CDC53"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10.0%</w:t>
            </w:r>
          </w:p>
        </w:tc>
      </w:tr>
      <w:tr w:rsidR="00A94BCD" w:rsidRPr="00D42F01" w14:paraId="0A3541E3"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38E58B97"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928E430" w14:textId="5C54116E"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1,483 </w:t>
            </w:r>
          </w:p>
        </w:tc>
        <w:tc>
          <w:tcPr>
            <w:tcW w:w="922" w:type="dxa"/>
            <w:tcBorders>
              <w:top w:val="nil"/>
              <w:left w:val="nil"/>
              <w:bottom w:val="nil"/>
              <w:right w:val="nil"/>
            </w:tcBorders>
            <w:shd w:val="clear" w:color="auto" w:fill="D5DCE4" w:themeFill="text2" w:themeFillTint="33"/>
            <w:vAlign w:val="center"/>
          </w:tcPr>
          <w:p w14:paraId="10C6F875" w14:textId="1038BF08"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1,557 </w:t>
            </w:r>
          </w:p>
        </w:tc>
        <w:tc>
          <w:tcPr>
            <w:tcW w:w="993" w:type="dxa"/>
            <w:tcBorders>
              <w:top w:val="nil"/>
              <w:left w:val="nil"/>
              <w:bottom w:val="nil"/>
              <w:right w:val="nil"/>
            </w:tcBorders>
            <w:shd w:val="clear" w:color="auto" w:fill="D5DCE4" w:themeFill="text2" w:themeFillTint="33"/>
            <w:vAlign w:val="center"/>
          </w:tcPr>
          <w:p w14:paraId="3C364D03" w14:textId="22C5DBCD"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5.0%</w:t>
            </w:r>
          </w:p>
        </w:tc>
      </w:tr>
      <w:tr w:rsidR="00A94BCD" w:rsidRPr="00D42F01" w14:paraId="203A5D65"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382D541E"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3E00D4A5" w14:textId="328A7ACF"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998 </w:t>
            </w:r>
          </w:p>
        </w:tc>
        <w:tc>
          <w:tcPr>
            <w:tcW w:w="922" w:type="dxa"/>
            <w:tcBorders>
              <w:top w:val="nil"/>
              <w:left w:val="nil"/>
              <w:bottom w:val="nil"/>
              <w:right w:val="nil"/>
            </w:tcBorders>
            <w:vAlign w:val="center"/>
          </w:tcPr>
          <w:p w14:paraId="40EA9E4D" w14:textId="6E68585A"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1,101 </w:t>
            </w:r>
          </w:p>
        </w:tc>
        <w:tc>
          <w:tcPr>
            <w:tcW w:w="993" w:type="dxa"/>
            <w:tcBorders>
              <w:top w:val="nil"/>
              <w:left w:val="nil"/>
              <w:bottom w:val="nil"/>
              <w:right w:val="nil"/>
            </w:tcBorders>
            <w:vAlign w:val="center"/>
          </w:tcPr>
          <w:p w14:paraId="03C7BA15" w14:textId="43606A33"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10.3%</w:t>
            </w:r>
          </w:p>
        </w:tc>
      </w:tr>
      <w:tr w:rsidR="00A94BCD" w:rsidRPr="00D42F01" w14:paraId="5CE5F0E7"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A1DB425"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Walworth</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094E214" w14:textId="24DD22DA"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 1,070 </w:t>
            </w:r>
          </w:p>
        </w:tc>
        <w:tc>
          <w:tcPr>
            <w:tcW w:w="922" w:type="dxa"/>
            <w:tcBorders>
              <w:top w:val="nil"/>
              <w:left w:val="nil"/>
              <w:bottom w:val="nil"/>
              <w:right w:val="nil"/>
            </w:tcBorders>
            <w:shd w:val="clear" w:color="auto" w:fill="D5DCE4" w:themeFill="text2" w:themeFillTint="33"/>
            <w:vAlign w:val="center"/>
          </w:tcPr>
          <w:p w14:paraId="4AB2162C" w14:textId="4AD6330F"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1,083 </w:t>
            </w:r>
          </w:p>
        </w:tc>
        <w:tc>
          <w:tcPr>
            <w:tcW w:w="993" w:type="dxa"/>
            <w:tcBorders>
              <w:top w:val="nil"/>
              <w:left w:val="nil"/>
              <w:bottom w:val="nil"/>
              <w:right w:val="nil"/>
            </w:tcBorders>
            <w:shd w:val="clear" w:color="auto" w:fill="D5DCE4" w:themeFill="text2" w:themeFillTint="33"/>
            <w:vAlign w:val="center"/>
          </w:tcPr>
          <w:p w14:paraId="2D0967F5" w14:textId="1F13B496"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1.2%</w:t>
            </w:r>
          </w:p>
        </w:tc>
      </w:tr>
      <w:tr w:rsidR="00A94BCD" w:rsidRPr="00D42F01" w14:paraId="6BFCFD85"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7C57B205"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4B555D6E" w14:textId="35DBEF56" w:rsidR="00A94BCD" w:rsidRPr="00A94BCD" w:rsidRDefault="00A94BCD" w:rsidP="00A94BCD">
            <w:pPr>
              <w:tabs>
                <w:tab w:val="left" w:pos="645"/>
              </w:tabs>
              <w:spacing w:line="252" w:lineRule="auto"/>
              <w:ind w:left="44" w:right="62"/>
              <w:jc w:val="right"/>
              <w:rPr>
                <w:rFonts w:ascii="Arial" w:hAnsi="Arial" w:cs="Arial"/>
                <w:sz w:val="20"/>
                <w:szCs w:val="20"/>
              </w:rPr>
            </w:pPr>
            <w:r w:rsidRPr="00A94BCD">
              <w:rPr>
                <w:rFonts w:ascii="Arial" w:hAnsi="Arial" w:cs="Arial"/>
                <w:sz w:val="20"/>
                <w:szCs w:val="20"/>
              </w:rPr>
              <w:t xml:space="preserve">15,404 </w:t>
            </w:r>
          </w:p>
        </w:tc>
        <w:tc>
          <w:tcPr>
            <w:tcW w:w="922" w:type="dxa"/>
            <w:tcBorders>
              <w:top w:val="single" w:sz="4" w:space="0" w:color="auto"/>
              <w:left w:val="nil"/>
              <w:bottom w:val="nil"/>
              <w:right w:val="nil"/>
            </w:tcBorders>
            <w:vAlign w:val="center"/>
          </w:tcPr>
          <w:p w14:paraId="24EE294B" w14:textId="0569635E"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 xml:space="preserve"> 16,850 </w:t>
            </w:r>
          </w:p>
        </w:tc>
        <w:tc>
          <w:tcPr>
            <w:tcW w:w="993" w:type="dxa"/>
            <w:tcBorders>
              <w:top w:val="nil"/>
              <w:left w:val="nil"/>
              <w:bottom w:val="nil"/>
              <w:right w:val="nil"/>
            </w:tcBorders>
            <w:vAlign w:val="center"/>
          </w:tcPr>
          <w:p w14:paraId="5FB2DE0A" w14:textId="58942B68"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9.4%</w:t>
            </w:r>
          </w:p>
        </w:tc>
      </w:tr>
      <w:tr w:rsidR="00DF7DFC" w:rsidRPr="00D42F01" w14:paraId="2D35B6B9" w14:textId="77777777" w:rsidTr="00DF7DFC">
        <w:trPr>
          <w:trHeight w:val="144"/>
        </w:trPr>
        <w:tc>
          <w:tcPr>
            <w:tcW w:w="4330" w:type="dxa"/>
            <w:gridSpan w:val="4"/>
            <w:tcBorders>
              <w:top w:val="nil"/>
              <w:left w:val="nil"/>
              <w:bottom w:val="nil"/>
              <w:right w:val="nil"/>
            </w:tcBorders>
            <w:tcMar>
              <w:top w:w="0" w:type="dxa"/>
              <w:left w:w="108" w:type="dxa"/>
              <w:bottom w:w="0" w:type="dxa"/>
              <w:right w:w="108" w:type="dxa"/>
            </w:tcMar>
            <w:vAlign w:val="center"/>
          </w:tcPr>
          <w:p w14:paraId="6396D9FD" w14:textId="77777777" w:rsidR="00DF7DFC" w:rsidRPr="00D42F01" w:rsidRDefault="00DF7DFC" w:rsidP="00DF7DFC">
            <w:pPr>
              <w:spacing w:line="252" w:lineRule="auto"/>
              <w:ind w:right="195"/>
              <w:rPr>
                <w:rFonts w:ascii="Arial" w:hAnsi="Arial" w:cs="Arial"/>
                <w:sz w:val="10"/>
                <w:szCs w:val="10"/>
              </w:rPr>
            </w:pPr>
          </w:p>
        </w:tc>
      </w:tr>
      <w:tr w:rsidR="00DF7DFC" w:rsidRPr="00D42F01" w14:paraId="6BF4AFE3" w14:textId="77777777" w:rsidTr="00DF7DFC">
        <w:trPr>
          <w:trHeight w:val="360"/>
        </w:trPr>
        <w:tc>
          <w:tcPr>
            <w:tcW w:w="4330" w:type="dxa"/>
            <w:gridSpan w:val="4"/>
            <w:tcBorders>
              <w:top w:val="nil"/>
              <w:left w:val="nil"/>
              <w:bottom w:val="single" w:sz="8" w:space="0" w:color="FFFFFF" w:themeColor="background1"/>
              <w:right w:val="nil"/>
            </w:tcBorders>
            <w:tcMar>
              <w:top w:w="0" w:type="dxa"/>
              <w:left w:w="108" w:type="dxa"/>
              <w:bottom w:w="0" w:type="dxa"/>
              <w:right w:w="108" w:type="dxa"/>
            </w:tcMar>
            <w:vAlign w:val="center"/>
          </w:tcPr>
          <w:p w14:paraId="00AF9BB2" w14:textId="54BD1218" w:rsidR="00DF7DFC" w:rsidRPr="00D42F01" w:rsidRDefault="00DF7DFC" w:rsidP="00DF7DFC">
            <w:pPr>
              <w:spacing w:line="252" w:lineRule="auto"/>
              <w:ind w:left="-105" w:right="-90"/>
              <w:rPr>
                <w:rFonts w:ascii="Arial" w:hAnsi="Arial" w:cs="Arial"/>
                <w:sz w:val="22"/>
              </w:rPr>
            </w:pPr>
            <w:r w:rsidRPr="00D42F01">
              <w:rPr>
                <w:rFonts w:ascii="Arial" w:hAnsi="Arial" w:cs="Arial"/>
                <w:b/>
                <w:bCs/>
                <w:sz w:val="20"/>
                <w:szCs w:val="20"/>
              </w:rPr>
              <w:t xml:space="preserve"> </w:t>
            </w:r>
            <w:r w:rsidR="00A94BCD">
              <w:rPr>
                <w:rFonts w:ascii="Arial" w:hAnsi="Arial" w:cs="Arial"/>
                <w:b/>
                <w:bCs/>
                <w:sz w:val="22"/>
              </w:rPr>
              <w:t>June</w:t>
            </w:r>
            <w:r w:rsidRPr="00D42F01">
              <w:rPr>
                <w:rFonts w:ascii="Arial" w:hAnsi="Arial" w:cs="Arial"/>
                <w:b/>
                <w:bCs/>
                <w:sz w:val="22"/>
              </w:rPr>
              <w:t xml:space="preserve"> Listings</w:t>
            </w:r>
          </w:p>
        </w:tc>
      </w:tr>
      <w:tr w:rsidR="00DF7DFC" w:rsidRPr="00D42F01" w14:paraId="7DDF659F" w14:textId="77777777" w:rsidTr="00DF7DFC">
        <w:trPr>
          <w:trHeight w:val="288"/>
        </w:trPr>
        <w:tc>
          <w:tcPr>
            <w:tcW w:w="145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250C8876" w14:textId="77777777" w:rsidR="00DF7DFC" w:rsidRPr="00D42F01" w:rsidRDefault="00DF7DFC" w:rsidP="00DF7DFC">
            <w:pPr>
              <w:spacing w:line="252" w:lineRule="auto"/>
              <w:ind w:left="62" w:right="100"/>
              <w:rPr>
                <w:rFonts w:ascii="Arial" w:hAnsi="Arial" w:cs="Arial"/>
                <w:color w:val="FFFFFF" w:themeColor="background1"/>
                <w:sz w:val="20"/>
                <w:szCs w:val="20"/>
              </w:rPr>
            </w:pPr>
            <w:r w:rsidRPr="00D42F01">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6CDBD295" w14:textId="77777777" w:rsidR="00DF7DFC" w:rsidRPr="00D42F01" w:rsidRDefault="00DF7DFC" w:rsidP="00DF7DFC">
            <w:pPr>
              <w:spacing w:line="252" w:lineRule="auto"/>
              <w:ind w:left="44" w:right="62"/>
              <w:jc w:val="center"/>
              <w:rPr>
                <w:rFonts w:ascii="Arial" w:hAnsi="Arial" w:cs="Arial"/>
                <w:color w:val="FFFFFF" w:themeColor="background1"/>
                <w:sz w:val="20"/>
                <w:szCs w:val="20"/>
              </w:rPr>
            </w:pPr>
            <w:r w:rsidRPr="00D42F01">
              <w:rPr>
                <w:rFonts w:ascii="Arial" w:hAnsi="Arial" w:cs="Arial"/>
                <w:color w:val="FFFFFF" w:themeColor="background1"/>
                <w:sz w:val="20"/>
                <w:szCs w:val="20"/>
              </w:rPr>
              <w:t>202</w:t>
            </w:r>
            <w:r>
              <w:rPr>
                <w:rFonts w:ascii="Arial" w:hAnsi="Arial" w:cs="Arial"/>
                <w:color w:val="FFFFFF" w:themeColor="background1"/>
                <w:sz w:val="20"/>
                <w:szCs w:val="20"/>
              </w:rPr>
              <w:t>5</w:t>
            </w:r>
          </w:p>
        </w:tc>
        <w:tc>
          <w:tcPr>
            <w:tcW w:w="922" w:type="dxa"/>
            <w:tcBorders>
              <w:top w:val="nil"/>
              <w:left w:val="single" w:sz="12" w:space="0" w:color="FFFFFF"/>
              <w:bottom w:val="nil"/>
              <w:right w:val="single" w:sz="12" w:space="0" w:color="FFFFFF"/>
            </w:tcBorders>
            <w:shd w:val="clear" w:color="auto" w:fill="1F4E79"/>
            <w:vAlign w:val="center"/>
          </w:tcPr>
          <w:p w14:paraId="482A956A" w14:textId="77777777" w:rsidR="00DF7DFC" w:rsidRPr="00D42F01" w:rsidRDefault="00DF7DFC" w:rsidP="00DF7DFC">
            <w:pPr>
              <w:spacing w:line="252" w:lineRule="auto"/>
              <w:jc w:val="center"/>
              <w:rPr>
                <w:rFonts w:ascii="Arial" w:hAnsi="Arial" w:cs="Arial"/>
                <w:color w:val="FFFFFF" w:themeColor="background1"/>
                <w:sz w:val="20"/>
                <w:szCs w:val="20"/>
              </w:rPr>
            </w:pPr>
            <w:r w:rsidRPr="00D42F01">
              <w:rPr>
                <w:rFonts w:ascii="Arial" w:hAnsi="Arial" w:cs="Arial"/>
                <w:color w:val="FFFFFF" w:themeColor="background1"/>
                <w:sz w:val="20"/>
                <w:szCs w:val="20"/>
              </w:rPr>
              <w:t>202</w:t>
            </w:r>
            <w:r>
              <w:rPr>
                <w:rFonts w:ascii="Arial" w:hAnsi="Arial" w:cs="Arial"/>
                <w:color w:val="FFFFFF" w:themeColor="background1"/>
                <w:sz w:val="20"/>
                <w:szCs w:val="20"/>
              </w:rPr>
              <w:t>6</w:t>
            </w:r>
          </w:p>
        </w:tc>
        <w:tc>
          <w:tcPr>
            <w:tcW w:w="993" w:type="dxa"/>
            <w:tcBorders>
              <w:top w:val="nil"/>
              <w:left w:val="single" w:sz="12" w:space="0" w:color="FFFFFF"/>
              <w:bottom w:val="nil"/>
              <w:right w:val="nil"/>
            </w:tcBorders>
            <w:shd w:val="clear" w:color="auto" w:fill="1F4E79"/>
            <w:vAlign w:val="center"/>
          </w:tcPr>
          <w:p w14:paraId="24B2E3F1" w14:textId="77777777" w:rsidR="00DF7DFC" w:rsidRPr="00D42F01" w:rsidRDefault="00DF7DFC" w:rsidP="00DF7DFC">
            <w:pPr>
              <w:spacing w:line="252" w:lineRule="auto"/>
              <w:ind w:right="15"/>
              <w:jc w:val="center"/>
              <w:rPr>
                <w:rFonts w:ascii="Arial" w:hAnsi="Arial" w:cs="Arial"/>
                <w:color w:val="FFFFFF" w:themeColor="background1"/>
                <w:sz w:val="20"/>
                <w:szCs w:val="20"/>
              </w:rPr>
            </w:pPr>
            <w:r w:rsidRPr="00DB59A4">
              <w:rPr>
                <w:rFonts w:ascii="Arial Narrow" w:hAnsi="Arial Narrow" w:cs="Arial"/>
                <w:color w:val="FFFFFF" w:themeColor="background1"/>
                <w:sz w:val="20"/>
                <w:szCs w:val="20"/>
              </w:rPr>
              <w:t>% Change</w:t>
            </w:r>
          </w:p>
        </w:tc>
      </w:tr>
      <w:tr w:rsidR="00A94BCD" w:rsidRPr="00D42F01" w14:paraId="4114BD9F" w14:textId="77777777" w:rsidTr="00A94BCD">
        <w:trPr>
          <w:trHeight w:val="288"/>
        </w:trPr>
        <w:tc>
          <w:tcPr>
            <w:tcW w:w="1452" w:type="dxa"/>
            <w:tcBorders>
              <w:top w:val="single" w:sz="8" w:space="0" w:color="FFFFFF" w:themeColor="background1"/>
              <w:left w:val="nil"/>
              <w:bottom w:val="nil"/>
              <w:right w:val="nil"/>
            </w:tcBorders>
            <w:tcMar>
              <w:top w:w="0" w:type="dxa"/>
              <w:left w:w="108" w:type="dxa"/>
              <w:bottom w:w="0" w:type="dxa"/>
              <w:right w:w="108" w:type="dxa"/>
            </w:tcMar>
            <w:vAlign w:val="center"/>
          </w:tcPr>
          <w:p w14:paraId="7E4A7321"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Milwaukee</w:t>
            </w:r>
          </w:p>
        </w:tc>
        <w:tc>
          <w:tcPr>
            <w:tcW w:w="963" w:type="dxa"/>
            <w:tcBorders>
              <w:top w:val="single" w:sz="8" w:space="0" w:color="FFFFFF" w:themeColor="background1"/>
              <w:left w:val="nil"/>
              <w:bottom w:val="nil"/>
              <w:right w:val="nil"/>
            </w:tcBorders>
            <w:tcMar>
              <w:top w:w="0" w:type="dxa"/>
              <w:left w:w="108" w:type="dxa"/>
              <w:bottom w:w="0" w:type="dxa"/>
              <w:right w:w="108" w:type="dxa"/>
            </w:tcMar>
            <w:vAlign w:val="center"/>
          </w:tcPr>
          <w:p w14:paraId="092FA843" w14:textId="153B9F47"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1260</w:t>
            </w:r>
          </w:p>
        </w:tc>
        <w:tc>
          <w:tcPr>
            <w:tcW w:w="922" w:type="dxa"/>
            <w:tcBorders>
              <w:top w:val="single" w:sz="8" w:space="0" w:color="FFFFFF" w:themeColor="background1"/>
              <w:left w:val="nil"/>
              <w:bottom w:val="nil"/>
              <w:right w:val="nil"/>
            </w:tcBorders>
            <w:vAlign w:val="center"/>
          </w:tcPr>
          <w:p w14:paraId="0456BBC7" w14:textId="3D15BF10"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1336</w:t>
            </w:r>
          </w:p>
        </w:tc>
        <w:tc>
          <w:tcPr>
            <w:tcW w:w="993" w:type="dxa"/>
            <w:tcBorders>
              <w:top w:val="single" w:sz="8" w:space="0" w:color="FFFFFF" w:themeColor="background1"/>
              <w:left w:val="nil"/>
              <w:bottom w:val="nil"/>
              <w:right w:val="nil"/>
            </w:tcBorders>
            <w:vAlign w:val="center"/>
          </w:tcPr>
          <w:p w14:paraId="0E6E85EE" w14:textId="381FB257"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6.0%</w:t>
            </w:r>
          </w:p>
        </w:tc>
      </w:tr>
      <w:tr w:rsidR="00A94BCD" w:rsidRPr="00D42F01" w14:paraId="136562DC"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3BB6583"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color w:val="000000"/>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73229E1" w14:textId="1072E0DD"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625</w:t>
            </w:r>
          </w:p>
        </w:tc>
        <w:tc>
          <w:tcPr>
            <w:tcW w:w="922" w:type="dxa"/>
            <w:tcBorders>
              <w:top w:val="nil"/>
              <w:left w:val="nil"/>
              <w:bottom w:val="nil"/>
              <w:right w:val="nil"/>
            </w:tcBorders>
            <w:shd w:val="clear" w:color="auto" w:fill="D5DCE4" w:themeFill="text2" w:themeFillTint="33"/>
            <w:vAlign w:val="center"/>
          </w:tcPr>
          <w:p w14:paraId="3A7D8E08" w14:textId="250A2D9D"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691</w:t>
            </w:r>
          </w:p>
        </w:tc>
        <w:tc>
          <w:tcPr>
            <w:tcW w:w="993" w:type="dxa"/>
            <w:tcBorders>
              <w:top w:val="nil"/>
              <w:left w:val="nil"/>
              <w:bottom w:val="nil"/>
              <w:right w:val="nil"/>
            </w:tcBorders>
            <w:shd w:val="clear" w:color="auto" w:fill="D5DCE4" w:themeFill="text2" w:themeFillTint="33"/>
            <w:vAlign w:val="center"/>
          </w:tcPr>
          <w:p w14:paraId="7DBE94F4" w14:textId="042A0E1C"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10.6%</w:t>
            </w:r>
          </w:p>
        </w:tc>
      </w:tr>
      <w:tr w:rsidR="00A94BCD" w:rsidRPr="00D42F01" w14:paraId="2F418F16"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338E3C1C"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72A4BBC3" w14:textId="3500E838"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124</w:t>
            </w:r>
          </w:p>
        </w:tc>
        <w:tc>
          <w:tcPr>
            <w:tcW w:w="922" w:type="dxa"/>
            <w:tcBorders>
              <w:top w:val="nil"/>
              <w:left w:val="nil"/>
              <w:bottom w:val="nil"/>
              <w:right w:val="nil"/>
            </w:tcBorders>
            <w:vAlign w:val="center"/>
          </w:tcPr>
          <w:p w14:paraId="34C40D85" w14:textId="7A034A7C"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155</w:t>
            </w:r>
          </w:p>
        </w:tc>
        <w:tc>
          <w:tcPr>
            <w:tcW w:w="993" w:type="dxa"/>
            <w:tcBorders>
              <w:top w:val="nil"/>
              <w:left w:val="nil"/>
              <w:bottom w:val="nil"/>
              <w:right w:val="nil"/>
            </w:tcBorders>
            <w:vAlign w:val="center"/>
          </w:tcPr>
          <w:p w14:paraId="60476D86" w14:textId="14973300"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25.0%</w:t>
            </w:r>
          </w:p>
        </w:tc>
      </w:tr>
      <w:tr w:rsidR="00A94BCD" w:rsidRPr="00D42F01" w14:paraId="3003B8D5" w14:textId="77777777" w:rsidTr="00A94BCD">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011B1DEE"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color w:val="000000"/>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0857EC43" w14:textId="2D4F8218"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200</w:t>
            </w:r>
          </w:p>
        </w:tc>
        <w:tc>
          <w:tcPr>
            <w:tcW w:w="922" w:type="dxa"/>
            <w:tcBorders>
              <w:top w:val="nil"/>
              <w:left w:val="nil"/>
              <w:bottom w:val="single" w:sz="4" w:space="0" w:color="auto"/>
              <w:right w:val="nil"/>
            </w:tcBorders>
            <w:shd w:val="clear" w:color="auto" w:fill="D5DCE4" w:themeFill="text2" w:themeFillTint="33"/>
            <w:vAlign w:val="center"/>
          </w:tcPr>
          <w:p w14:paraId="300F6DAE" w14:textId="20BD31AE"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189</w:t>
            </w:r>
          </w:p>
        </w:tc>
        <w:tc>
          <w:tcPr>
            <w:tcW w:w="993" w:type="dxa"/>
            <w:tcBorders>
              <w:top w:val="nil"/>
              <w:left w:val="nil"/>
              <w:bottom w:val="nil"/>
              <w:right w:val="nil"/>
            </w:tcBorders>
            <w:shd w:val="clear" w:color="auto" w:fill="D5DCE4" w:themeFill="text2" w:themeFillTint="33"/>
            <w:vAlign w:val="center"/>
          </w:tcPr>
          <w:p w14:paraId="5AEF790C" w14:textId="2F785DA3"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-5.5%</w:t>
            </w:r>
          </w:p>
        </w:tc>
      </w:tr>
      <w:tr w:rsidR="00A94BCD" w:rsidRPr="00D42F01" w14:paraId="43A2E07A"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19D6A217"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5A15169C" w14:textId="05537A81"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2,209</w:t>
            </w:r>
          </w:p>
        </w:tc>
        <w:tc>
          <w:tcPr>
            <w:tcW w:w="922" w:type="dxa"/>
            <w:tcBorders>
              <w:top w:val="single" w:sz="4" w:space="0" w:color="auto"/>
              <w:left w:val="nil"/>
              <w:bottom w:val="nil"/>
              <w:right w:val="nil"/>
            </w:tcBorders>
            <w:vAlign w:val="center"/>
          </w:tcPr>
          <w:p w14:paraId="761138BC" w14:textId="0B3C1C48" w:rsidR="00A94BCD" w:rsidRPr="00A94BCD" w:rsidRDefault="00A94BCD" w:rsidP="00A94BCD">
            <w:pPr>
              <w:spacing w:line="252" w:lineRule="auto"/>
              <w:ind w:right="58"/>
              <w:jc w:val="right"/>
              <w:rPr>
                <w:rFonts w:ascii="Arial" w:hAnsi="Arial" w:cs="Arial"/>
                <w:sz w:val="20"/>
                <w:szCs w:val="20"/>
              </w:rPr>
            </w:pPr>
            <w:r w:rsidRPr="00A94BCD">
              <w:rPr>
                <w:rFonts w:ascii="Arial" w:hAnsi="Arial" w:cs="Arial"/>
                <w:sz w:val="20"/>
                <w:szCs w:val="20"/>
              </w:rPr>
              <w:t>2,371</w:t>
            </w:r>
          </w:p>
        </w:tc>
        <w:tc>
          <w:tcPr>
            <w:tcW w:w="993" w:type="dxa"/>
            <w:tcBorders>
              <w:top w:val="nil"/>
              <w:left w:val="nil"/>
              <w:bottom w:val="nil"/>
              <w:right w:val="nil"/>
            </w:tcBorders>
            <w:vAlign w:val="center"/>
          </w:tcPr>
          <w:p w14:paraId="0DBA6AE1" w14:textId="08B45F86"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7.3%</w:t>
            </w:r>
          </w:p>
        </w:tc>
      </w:tr>
      <w:tr w:rsidR="00DF7DFC" w:rsidRPr="00D42F01" w14:paraId="0E2916A6" w14:textId="77777777" w:rsidTr="00A94BCD">
        <w:trPr>
          <w:trHeight w:val="86"/>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A8A7EA3" w14:textId="77777777" w:rsidR="00DF7DFC" w:rsidRPr="006D2AF9" w:rsidRDefault="00DF7DFC" w:rsidP="00A94BCD">
            <w:pPr>
              <w:spacing w:line="252" w:lineRule="auto"/>
              <w:ind w:right="195"/>
              <w:jc w:val="right"/>
              <w:rPr>
                <w:rFonts w:ascii="Arial" w:hAnsi="Arial" w:cs="Arial"/>
                <w:sz w:val="10"/>
                <w:szCs w:val="10"/>
              </w:rPr>
            </w:pPr>
          </w:p>
        </w:tc>
      </w:tr>
      <w:tr w:rsidR="00A94BCD" w:rsidRPr="00D42F01" w14:paraId="3F98C6FE"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59569334"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695A14DE" w14:textId="0E7A1E9C"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121</w:t>
            </w:r>
          </w:p>
        </w:tc>
        <w:tc>
          <w:tcPr>
            <w:tcW w:w="922" w:type="dxa"/>
            <w:tcBorders>
              <w:top w:val="nil"/>
              <w:left w:val="nil"/>
              <w:bottom w:val="nil"/>
              <w:right w:val="nil"/>
            </w:tcBorders>
            <w:vAlign w:val="center"/>
          </w:tcPr>
          <w:p w14:paraId="3FDF86D4" w14:textId="39C01A64" w:rsidR="00A94BCD" w:rsidRPr="00A94BCD" w:rsidRDefault="00A94BCD" w:rsidP="00A94BCD">
            <w:pPr>
              <w:spacing w:line="252" w:lineRule="auto"/>
              <w:ind w:right="62"/>
              <w:jc w:val="right"/>
              <w:rPr>
                <w:rFonts w:ascii="Arial" w:hAnsi="Arial" w:cs="Arial"/>
                <w:sz w:val="20"/>
                <w:szCs w:val="20"/>
              </w:rPr>
            </w:pPr>
            <w:r w:rsidRPr="00A94BCD">
              <w:rPr>
                <w:rFonts w:ascii="Arial" w:hAnsi="Arial" w:cs="Arial"/>
                <w:sz w:val="20"/>
                <w:szCs w:val="20"/>
              </w:rPr>
              <w:t>180</w:t>
            </w:r>
          </w:p>
        </w:tc>
        <w:tc>
          <w:tcPr>
            <w:tcW w:w="993" w:type="dxa"/>
            <w:tcBorders>
              <w:top w:val="nil"/>
              <w:left w:val="nil"/>
              <w:bottom w:val="nil"/>
              <w:right w:val="nil"/>
            </w:tcBorders>
            <w:vAlign w:val="center"/>
          </w:tcPr>
          <w:p w14:paraId="7D44485B" w14:textId="2761E6A4"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48.8%</w:t>
            </w:r>
          </w:p>
        </w:tc>
      </w:tr>
      <w:tr w:rsidR="00A94BCD" w:rsidRPr="00D42F01" w14:paraId="0C1EFEFA" w14:textId="77777777" w:rsidTr="00A94BCD">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316C288"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B31C773" w14:textId="4D8183BD"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293</w:t>
            </w:r>
          </w:p>
        </w:tc>
        <w:tc>
          <w:tcPr>
            <w:tcW w:w="922" w:type="dxa"/>
            <w:tcBorders>
              <w:top w:val="nil"/>
              <w:left w:val="nil"/>
              <w:bottom w:val="nil"/>
              <w:right w:val="nil"/>
            </w:tcBorders>
            <w:shd w:val="clear" w:color="auto" w:fill="D5DCE4" w:themeFill="text2" w:themeFillTint="33"/>
            <w:vAlign w:val="center"/>
          </w:tcPr>
          <w:p w14:paraId="3FBD8422" w14:textId="4CE6C172" w:rsidR="00A94BCD" w:rsidRPr="00A94BCD" w:rsidRDefault="00A94BCD" w:rsidP="00A94BCD">
            <w:pPr>
              <w:spacing w:line="252" w:lineRule="auto"/>
              <w:ind w:right="62"/>
              <w:jc w:val="right"/>
              <w:rPr>
                <w:rFonts w:ascii="Arial" w:hAnsi="Arial" w:cs="Arial"/>
                <w:sz w:val="20"/>
                <w:szCs w:val="20"/>
              </w:rPr>
            </w:pPr>
            <w:r w:rsidRPr="00A94BCD">
              <w:rPr>
                <w:rFonts w:ascii="Arial" w:hAnsi="Arial" w:cs="Arial"/>
                <w:sz w:val="20"/>
                <w:szCs w:val="20"/>
              </w:rPr>
              <w:t>322</w:t>
            </w:r>
          </w:p>
        </w:tc>
        <w:tc>
          <w:tcPr>
            <w:tcW w:w="993" w:type="dxa"/>
            <w:tcBorders>
              <w:top w:val="nil"/>
              <w:left w:val="nil"/>
              <w:bottom w:val="nil"/>
              <w:right w:val="nil"/>
            </w:tcBorders>
            <w:shd w:val="clear" w:color="auto" w:fill="D5DCE4" w:themeFill="text2" w:themeFillTint="33"/>
            <w:vAlign w:val="center"/>
          </w:tcPr>
          <w:p w14:paraId="6482E1D8" w14:textId="22CA6EE9"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9.9%</w:t>
            </w:r>
          </w:p>
        </w:tc>
      </w:tr>
      <w:tr w:rsidR="00A94BCD" w:rsidRPr="00D42F01" w14:paraId="1864CA13" w14:textId="77777777" w:rsidTr="00A94BCD">
        <w:trPr>
          <w:trHeight w:val="288"/>
        </w:trPr>
        <w:tc>
          <w:tcPr>
            <w:tcW w:w="1452" w:type="dxa"/>
            <w:tcBorders>
              <w:top w:val="nil"/>
              <w:left w:val="nil"/>
              <w:bottom w:val="nil"/>
              <w:right w:val="nil"/>
            </w:tcBorders>
            <w:tcMar>
              <w:top w:w="0" w:type="dxa"/>
              <w:left w:w="108" w:type="dxa"/>
              <w:bottom w:w="0" w:type="dxa"/>
              <w:right w:w="108" w:type="dxa"/>
            </w:tcMar>
            <w:vAlign w:val="center"/>
          </w:tcPr>
          <w:p w14:paraId="1C2878B1"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color w:val="000000"/>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57AAD6CC" w14:textId="62F27B31"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190</w:t>
            </w:r>
          </w:p>
        </w:tc>
        <w:tc>
          <w:tcPr>
            <w:tcW w:w="922" w:type="dxa"/>
            <w:tcBorders>
              <w:top w:val="nil"/>
              <w:left w:val="nil"/>
              <w:bottom w:val="nil"/>
              <w:right w:val="nil"/>
            </w:tcBorders>
            <w:vAlign w:val="center"/>
          </w:tcPr>
          <w:p w14:paraId="4FFF284D" w14:textId="6C1DB7CC" w:rsidR="00A94BCD" w:rsidRPr="00A94BCD" w:rsidRDefault="00A94BCD" w:rsidP="00A94BCD">
            <w:pPr>
              <w:spacing w:line="252" w:lineRule="auto"/>
              <w:ind w:right="62"/>
              <w:jc w:val="right"/>
              <w:rPr>
                <w:rFonts w:ascii="Arial" w:hAnsi="Arial" w:cs="Arial"/>
                <w:sz w:val="20"/>
                <w:szCs w:val="20"/>
              </w:rPr>
            </w:pPr>
            <w:r w:rsidRPr="00A94BCD">
              <w:rPr>
                <w:rFonts w:ascii="Arial" w:hAnsi="Arial" w:cs="Arial"/>
                <w:sz w:val="20"/>
                <w:szCs w:val="20"/>
              </w:rPr>
              <w:t>243</w:t>
            </w:r>
          </w:p>
        </w:tc>
        <w:tc>
          <w:tcPr>
            <w:tcW w:w="993" w:type="dxa"/>
            <w:tcBorders>
              <w:top w:val="nil"/>
              <w:left w:val="nil"/>
              <w:bottom w:val="nil"/>
              <w:right w:val="nil"/>
            </w:tcBorders>
            <w:vAlign w:val="center"/>
          </w:tcPr>
          <w:p w14:paraId="0AB9E3CC" w14:textId="4CFA53F7"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27.9%</w:t>
            </w:r>
          </w:p>
        </w:tc>
      </w:tr>
      <w:tr w:rsidR="00A94BCD" w:rsidRPr="00D42F01" w14:paraId="073E28ED" w14:textId="77777777" w:rsidTr="00A94BCD">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6DA900E2"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sz w:val="20"/>
                <w:szCs w:val="20"/>
              </w:rPr>
              <w:t>Walworth</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0793D0F8" w14:textId="1169F4FF"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208</w:t>
            </w:r>
          </w:p>
        </w:tc>
        <w:tc>
          <w:tcPr>
            <w:tcW w:w="922" w:type="dxa"/>
            <w:tcBorders>
              <w:top w:val="nil"/>
              <w:left w:val="nil"/>
              <w:bottom w:val="single" w:sz="4" w:space="0" w:color="auto"/>
              <w:right w:val="nil"/>
            </w:tcBorders>
            <w:shd w:val="clear" w:color="auto" w:fill="D5DCE4" w:themeFill="text2" w:themeFillTint="33"/>
            <w:vAlign w:val="center"/>
          </w:tcPr>
          <w:p w14:paraId="4CC47F1A" w14:textId="7E304E3A" w:rsidR="00A94BCD" w:rsidRPr="00A94BCD" w:rsidRDefault="00A94BCD" w:rsidP="00A94BCD">
            <w:pPr>
              <w:spacing w:line="252" w:lineRule="auto"/>
              <w:ind w:right="62"/>
              <w:jc w:val="right"/>
              <w:rPr>
                <w:rFonts w:ascii="Arial" w:hAnsi="Arial" w:cs="Arial"/>
                <w:sz w:val="20"/>
                <w:szCs w:val="20"/>
              </w:rPr>
            </w:pPr>
            <w:r w:rsidRPr="00A94BCD">
              <w:rPr>
                <w:rFonts w:ascii="Arial" w:hAnsi="Arial" w:cs="Arial"/>
                <w:sz w:val="20"/>
                <w:szCs w:val="20"/>
              </w:rPr>
              <w:t>182</w:t>
            </w:r>
          </w:p>
        </w:tc>
        <w:tc>
          <w:tcPr>
            <w:tcW w:w="993" w:type="dxa"/>
            <w:tcBorders>
              <w:top w:val="nil"/>
              <w:left w:val="nil"/>
              <w:bottom w:val="nil"/>
              <w:right w:val="nil"/>
            </w:tcBorders>
            <w:shd w:val="clear" w:color="auto" w:fill="D5DCE4" w:themeFill="text2" w:themeFillTint="33"/>
            <w:vAlign w:val="center"/>
          </w:tcPr>
          <w:p w14:paraId="294CED73" w14:textId="1A15365B"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-12.5%</w:t>
            </w:r>
          </w:p>
        </w:tc>
      </w:tr>
      <w:tr w:rsidR="00A94BCD" w:rsidRPr="00D42F01" w14:paraId="7977B247" w14:textId="77777777" w:rsidTr="00A94BCD">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76B4BEE5" w14:textId="77777777" w:rsidR="00A94BCD" w:rsidRPr="00D42F01" w:rsidRDefault="00A94BCD" w:rsidP="00A94BCD">
            <w:pPr>
              <w:spacing w:line="252" w:lineRule="auto"/>
              <w:ind w:left="62" w:right="100"/>
              <w:rPr>
                <w:rFonts w:ascii="Arial" w:hAnsi="Arial" w:cs="Arial"/>
                <w:sz w:val="20"/>
                <w:szCs w:val="20"/>
              </w:rPr>
            </w:pPr>
            <w:r w:rsidRPr="00D42F01">
              <w:rPr>
                <w:rFonts w:ascii="Arial" w:hAnsi="Arial" w:cs="Arial"/>
                <w:color w:val="000000"/>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0F0C5D3E" w14:textId="494125D9" w:rsidR="00A94BCD" w:rsidRPr="00A94BCD" w:rsidRDefault="00A94BCD" w:rsidP="00A94BCD">
            <w:pPr>
              <w:spacing w:line="252" w:lineRule="auto"/>
              <w:ind w:left="44" w:right="62"/>
              <w:jc w:val="right"/>
              <w:rPr>
                <w:rFonts w:ascii="Arial" w:hAnsi="Arial" w:cs="Arial"/>
                <w:sz w:val="20"/>
                <w:szCs w:val="20"/>
              </w:rPr>
            </w:pPr>
            <w:r w:rsidRPr="00A94BCD">
              <w:rPr>
                <w:rFonts w:ascii="Arial" w:hAnsi="Arial" w:cs="Arial"/>
                <w:sz w:val="20"/>
                <w:szCs w:val="20"/>
              </w:rPr>
              <w:t>3,021</w:t>
            </w:r>
          </w:p>
        </w:tc>
        <w:tc>
          <w:tcPr>
            <w:tcW w:w="922" w:type="dxa"/>
            <w:tcBorders>
              <w:top w:val="single" w:sz="4" w:space="0" w:color="auto"/>
              <w:left w:val="nil"/>
              <w:bottom w:val="nil"/>
              <w:right w:val="nil"/>
            </w:tcBorders>
            <w:vAlign w:val="center"/>
          </w:tcPr>
          <w:p w14:paraId="6861C559" w14:textId="6DE1AD18" w:rsidR="00A94BCD" w:rsidRPr="00A94BCD" w:rsidRDefault="00A94BCD" w:rsidP="00A94BCD">
            <w:pPr>
              <w:spacing w:line="252" w:lineRule="auto"/>
              <w:ind w:right="62"/>
              <w:jc w:val="right"/>
              <w:rPr>
                <w:rFonts w:ascii="Arial" w:hAnsi="Arial" w:cs="Arial"/>
                <w:sz w:val="20"/>
                <w:szCs w:val="20"/>
              </w:rPr>
            </w:pPr>
            <w:r w:rsidRPr="00A94BCD">
              <w:rPr>
                <w:rFonts w:ascii="Arial" w:hAnsi="Arial" w:cs="Arial"/>
                <w:sz w:val="20"/>
                <w:szCs w:val="20"/>
              </w:rPr>
              <w:t>3,298</w:t>
            </w:r>
          </w:p>
        </w:tc>
        <w:tc>
          <w:tcPr>
            <w:tcW w:w="993" w:type="dxa"/>
            <w:tcBorders>
              <w:top w:val="nil"/>
              <w:left w:val="nil"/>
              <w:bottom w:val="nil"/>
              <w:right w:val="nil"/>
            </w:tcBorders>
            <w:vAlign w:val="center"/>
          </w:tcPr>
          <w:p w14:paraId="09DCDF85" w14:textId="5A63F711" w:rsidR="00A94BCD" w:rsidRPr="00A94BCD" w:rsidRDefault="00A94BCD" w:rsidP="00A94BCD">
            <w:pPr>
              <w:spacing w:line="252" w:lineRule="auto"/>
              <w:ind w:right="195"/>
              <w:jc w:val="right"/>
              <w:rPr>
                <w:rFonts w:ascii="Arial" w:hAnsi="Arial" w:cs="Arial"/>
                <w:sz w:val="20"/>
                <w:szCs w:val="20"/>
              </w:rPr>
            </w:pPr>
            <w:r w:rsidRPr="00A94BCD">
              <w:rPr>
                <w:rFonts w:ascii="Arial" w:hAnsi="Arial" w:cs="Arial"/>
                <w:sz w:val="20"/>
                <w:szCs w:val="20"/>
              </w:rPr>
              <w:t>9.2%</w:t>
            </w:r>
          </w:p>
        </w:tc>
      </w:tr>
    </w:tbl>
    <w:p w14:paraId="50EEA8F8" w14:textId="7B68E381" w:rsidR="00225E0C" w:rsidRDefault="004E4655" w:rsidP="006E47E9">
      <w:r>
        <w:t>Through</w:t>
      </w:r>
      <w:r w:rsidR="00225E0C">
        <w:t xml:space="preserve"> the </w:t>
      </w:r>
      <w:r w:rsidR="003E2937">
        <w:t>second</w:t>
      </w:r>
      <w:r w:rsidR="00225E0C">
        <w:t xml:space="preserve"> quarter of 2022 (before interest rates increased)</w:t>
      </w:r>
      <w:r w:rsidR="008220C9">
        <w:t>,</w:t>
      </w:r>
      <w:r w:rsidR="00225E0C">
        <w:t xml:space="preserve"> there were </w:t>
      </w:r>
      <w:r>
        <w:t>12</w:t>
      </w:r>
      <w:r w:rsidR="00225E0C">
        <w:t>,</w:t>
      </w:r>
      <w:r>
        <w:t>621</w:t>
      </w:r>
      <w:r w:rsidR="00225E0C">
        <w:t xml:space="preserve"> new listings in the metropolitan market. This </w:t>
      </w:r>
      <w:r>
        <w:t>year</w:t>
      </w:r>
      <w:r w:rsidR="00225E0C">
        <w:t xml:space="preserve"> there were </w:t>
      </w:r>
      <w:r>
        <w:t>12</w:t>
      </w:r>
      <w:r w:rsidR="00225E0C">
        <w:t>,</w:t>
      </w:r>
      <w:r>
        <w:t>353</w:t>
      </w:r>
      <w:r w:rsidR="00225E0C">
        <w:t xml:space="preserve"> listings</w:t>
      </w:r>
      <w:r>
        <w:t xml:space="preserve"> – just 2.1% behind</w:t>
      </w:r>
      <w:r w:rsidR="00225E0C">
        <w:t xml:space="preserve">. </w:t>
      </w:r>
      <w:r w:rsidR="003E15DD">
        <w:t>The market is slowly clawing its way back.</w:t>
      </w:r>
    </w:p>
    <w:p w14:paraId="0084E6FD" w14:textId="77777777" w:rsidR="00225E0C" w:rsidRDefault="00225E0C" w:rsidP="006E47E9"/>
    <w:p w14:paraId="637906CB" w14:textId="4C0BF506" w:rsidR="00DF7DFC" w:rsidRDefault="00DF7DFC" w:rsidP="00F00818">
      <w:r>
        <w:t>While more listings are welcome news, t</w:t>
      </w:r>
      <w:r w:rsidR="00257E75">
        <w:t>he increase</w:t>
      </w:r>
      <w:r w:rsidR="00F3700A">
        <w:t xml:space="preserve"> was</w:t>
      </w:r>
      <w:r w:rsidR="00257E75">
        <w:t xml:space="preserve"> absorbed into the market right away</w:t>
      </w:r>
      <w:r w:rsidR="0071768A">
        <w:t xml:space="preserve"> -</w:t>
      </w:r>
      <w:r w:rsidR="00257E75">
        <w:t xml:space="preserve"> with no relief on pricing. </w:t>
      </w:r>
    </w:p>
    <w:p w14:paraId="552B008A" w14:textId="77777777" w:rsidR="00DF7DFC" w:rsidRDefault="00DF7DFC" w:rsidP="00F00818"/>
    <w:p w14:paraId="3C72FE48" w14:textId="01C3B961" w:rsidR="00257E75" w:rsidRDefault="00257E75" w:rsidP="00F00818">
      <w:r>
        <w:t xml:space="preserve">We can tell that by looking at the “days on market” (DOM), the time between when a listing contract is signed to when a seller accepts an offer. In the </w:t>
      </w:r>
      <w:r w:rsidR="003E2937">
        <w:t>second</w:t>
      </w:r>
      <w:r>
        <w:t xml:space="preserve"> quarter</w:t>
      </w:r>
      <w:r w:rsidR="0071768A">
        <w:t>,</w:t>
      </w:r>
      <w:r>
        <w:t xml:space="preserve"> DOM </w:t>
      </w:r>
      <w:r w:rsidR="003E15DD">
        <w:t xml:space="preserve">in Metropolitan Milwaukee </w:t>
      </w:r>
      <w:r>
        <w:t xml:space="preserve">was </w:t>
      </w:r>
      <w:r w:rsidR="003E15DD">
        <w:t>29</w:t>
      </w:r>
      <w:r>
        <w:t xml:space="preserve"> </w:t>
      </w:r>
      <w:r w:rsidR="002C52EF">
        <w:t xml:space="preserve">days </w:t>
      </w:r>
      <w:r>
        <w:t xml:space="preserve">compared to </w:t>
      </w:r>
      <w:r w:rsidR="003E15DD">
        <w:t>28</w:t>
      </w:r>
      <w:r>
        <w:t xml:space="preserve"> </w:t>
      </w:r>
      <w:r w:rsidR="002C52EF">
        <w:t xml:space="preserve">days </w:t>
      </w:r>
      <w:r>
        <w:t xml:space="preserve">in </w:t>
      </w:r>
      <w:r w:rsidR="00F00818">
        <w:t>2025</w:t>
      </w:r>
      <w:r>
        <w:t xml:space="preserve">. </w:t>
      </w:r>
      <w:r w:rsidR="002C52EF">
        <w:t>DOM equal to six-months</w:t>
      </w:r>
      <w:r w:rsidR="00D04759">
        <w:t xml:space="preserve"> </w:t>
      </w:r>
      <w:r w:rsidR="0071768A">
        <w:t>would be 180 days</w:t>
      </w:r>
      <w:r w:rsidR="0071768A">
        <w:t xml:space="preserve">, </w:t>
      </w:r>
      <w:r w:rsidR="00D04759">
        <w:t xml:space="preserve">a </w:t>
      </w:r>
      <w:r w:rsidR="00FF7B96">
        <w:t xml:space="preserve">sign of a </w:t>
      </w:r>
      <w:r w:rsidR="00D04759">
        <w:t>more balanced market</w:t>
      </w:r>
      <w:r w:rsidR="002C52EF">
        <w:t xml:space="preserve">. </w:t>
      </w:r>
    </w:p>
    <w:p w14:paraId="5240B384" w14:textId="77777777" w:rsidR="00257E75" w:rsidRDefault="00257E75" w:rsidP="00F00818"/>
    <w:p w14:paraId="689B714B" w14:textId="5F5919CC" w:rsidR="002C52EF" w:rsidRDefault="003E15DD" w:rsidP="00F00818">
      <w:r>
        <w:t>With</w:t>
      </w:r>
      <w:r w:rsidR="002C52EF">
        <w:t xml:space="preserve"> listings being absorbed into the market almost immediately, there is no downward pressure on prices. Prices in the four-county area were up 5</w:t>
      </w:r>
      <w:r>
        <w:t>.7</w:t>
      </w:r>
      <w:r w:rsidR="002C52EF">
        <w:t xml:space="preserve">% through the </w:t>
      </w:r>
      <w:r w:rsidR="003E2937">
        <w:t>second</w:t>
      </w:r>
      <w:r w:rsidR="002C52EF">
        <w:t xml:space="preserve"> quarter</w:t>
      </w:r>
      <w:r w:rsidR="006E47E9">
        <w:t>, y</w:t>
      </w:r>
      <w:r w:rsidR="002C52EF">
        <w:t>ield</w:t>
      </w:r>
      <w:r w:rsidR="006E47E9">
        <w:t>ing</w:t>
      </w:r>
      <w:r w:rsidR="002C52EF">
        <w:t xml:space="preserve"> an average price of </w:t>
      </w:r>
      <w:r w:rsidR="002C52EF" w:rsidRPr="002C52EF">
        <w:t>$4</w:t>
      </w:r>
      <w:r>
        <w:t>83</w:t>
      </w:r>
      <w:r w:rsidR="002C52EF" w:rsidRPr="002C52EF">
        <w:t>,</w:t>
      </w:r>
      <w:r>
        <w:t>551, a $25,978 change</w:t>
      </w:r>
      <w:r w:rsidR="006E47E9">
        <w:t xml:space="preserve">. </w:t>
      </w:r>
    </w:p>
    <w:p w14:paraId="3A14ED45" w14:textId="77777777" w:rsidR="002C52EF" w:rsidRDefault="002C52EF" w:rsidP="00F00818"/>
    <w:p w14:paraId="6926334D" w14:textId="08983359" w:rsidR="002C52EF" w:rsidRDefault="00A40AFF" w:rsidP="00F00818">
      <w:r>
        <w:t>Prices</w:t>
      </w:r>
      <w:r w:rsidR="006E47E9">
        <w:t xml:space="preserve"> in the </w:t>
      </w:r>
      <w:r w:rsidR="008220C9">
        <w:t>seven</w:t>
      </w:r>
      <w:r w:rsidR="002C52EF">
        <w:t>-county SE Wisconsin market area</w:t>
      </w:r>
      <w:r w:rsidR="006E47E9">
        <w:t xml:space="preserve"> were up</w:t>
      </w:r>
      <w:r w:rsidR="00F3700A">
        <w:t xml:space="preserve"> as well, </w:t>
      </w:r>
      <w:r w:rsidR="006E47E9">
        <w:t>6%</w:t>
      </w:r>
      <w:r>
        <w:t>, through</w:t>
      </w:r>
      <w:r w:rsidR="006E47E9">
        <w:t xml:space="preserve"> the </w:t>
      </w:r>
      <w:r w:rsidR="003E2937">
        <w:t>second</w:t>
      </w:r>
      <w:r w:rsidR="006E47E9">
        <w:t xml:space="preserve"> quarter, averaging </w:t>
      </w:r>
      <w:r w:rsidR="006E47E9" w:rsidRPr="006E47E9">
        <w:t>$</w:t>
      </w:r>
      <w:r w:rsidR="003E15DD">
        <w:t>514,867</w:t>
      </w:r>
      <w:r w:rsidR="006E47E9">
        <w:t xml:space="preserve">. </w:t>
      </w:r>
    </w:p>
    <w:p w14:paraId="65C5CC89" w14:textId="77777777" w:rsidR="002C52EF" w:rsidRDefault="002C52EF" w:rsidP="00F00818"/>
    <w:p w14:paraId="7C673D9A" w14:textId="51F692C1" w:rsidR="00DF7DFC" w:rsidRDefault="00D04759" w:rsidP="00DF7DFC">
      <w:r>
        <w:t>I</w:t>
      </w:r>
      <w:r w:rsidR="00DF7DFC">
        <w:t xml:space="preserve">ncreasing </w:t>
      </w:r>
      <w:r>
        <w:t xml:space="preserve">prices </w:t>
      </w:r>
      <w:r w:rsidR="00DF7DFC">
        <w:t xml:space="preserve">and </w:t>
      </w:r>
      <w:r>
        <w:t xml:space="preserve">low </w:t>
      </w:r>
      <w:r w:rsidR="00DF7DFC">
        <w:t xml:space="preserve">DOM </w:t>
      </w:r>
      <w:r>
        <w:t xml:space="preserve">show that </w:t>
      </w:r>
      <w:r w:rsidR="00DF7DFC">
        <w:t xml:space="preserve">there is strong demand for homes. </w:t>
      </w:r>
      <w:r w:rsidR="00001ECE">
        <w:t xml:space="preserve">The current market has no shortage of buyers; instead, buyers are competing for too few available listings. </w:t>
      </w:r>
    </w:p>
    <w:p w14:paraId="550827F1" w14:textId="37BF5D80" w:rsidR="00E65D35" w:rsidRDefault="00E65D35" w:rsidP="00001ECE">
      <w:pPr>
        <w:ind w:right="-180"/>
      </w:pPr>
    </w:p>
    <w:tbl>
      <w:tblPr>
        <w:tblpPr w:leftFromText="187" w:rightFromText="360" w:topFromText="202" w:bottomFromText="288" w:vertAnchor="text" w:horzAnchor="page" w:tblpX="1441" w:tblpY="92"/>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3"/>
        <w:gridCol w:w="1264"/>
        <w:gridCol w:w="1183"/>
        <w:gridCol w:w="1262"/>
        <w:gridCol w:w="992"/>
      </w:tblGrid>
      <w:tr w:rsidR="000666AB" w:rsidRPr="00DE1D23" w14:paraId="42D8160A" w14:textId="77777777" w:rsidTr="000666AB">
        <w:trPr>
          <w:trHeight w:val="360"/>
        </w:trPr>
        <w:tc>
          <w:tcPr>
            <w:tcW w:w="6484" w:type="dxa"/>
            <w:gridSpan w:val="5"/>
            <w:tcBorders>
              <w:top w:val="nil"/>
              <w:left w:val="nil"/>
              <w:bottom w:val="nil"/>
              <w:right w:val="nil"/>
            </w:tcBorders>
            <w:vAlign w:val="center"/>
          </w:tcPr>
          <w:p w14:paraId="2CBBFCA5" w14:textId="52EFA58A" w:rsidR="000666AB" w:rsidRPr="00430E07" w:rsidRDefault="000666AB" w:rsidP="000666AB">
            <w:pPr>
              <w:spacing w:line="252" w:lineRule="auto"/>
              <w:contextualSpacing w:val="0"/>
              <w:rPr>
                <w:rFonts w:ascii="Arial" w:eastAsia="Calibri" w:hAnsi="Arial" w:cs="Arial"/>
                <w:b/>
                <w:bCs/>
                <w:sz w:val="24"/>
                <w:szCs w:val="24"/>
              </w:rPr>
            </w:pPr>
            <w:r w:rsidRPr="00F3732A">
              <w:rPr>
                <w:rFonts w:ascii="Arial" w:eastAsia="Calibri" w:hAnsi="Arial" w:cs="Arial"/>
                <w:b/>
                <w:bCs/>
                <w:sz w:val="20"/>
                <w:szCs w:val="20"/>
              </w:rPr>
              <w:br w:type="page"/>
            </w:r>
            <w:r>
              <w:rPr>
                <w:rFonts w:ascii="Arial" w:eastAsia="Calibri" w:hAnsi="Arial" w:cs="Arial"/>
                <w:b/>
                <w:bCs/>
                <w:sz w:val="20"/>
                <w:szCs w:val="20"/>
              </w:rPr>
              <w:t xml:space="preserve"> </w:t>
            </w:r>
            <w:r w:rsidR="00A94BCD">
              <w:rPr>
                <w:rFonts w:ascii="Arial" w:eastAsia="Calibri" w:hAnsi="Arial" w:cs="Arial"/>
                <w:b/>
                <w:bCs/>
                <w:sz w:val="22"/>
              </w:rPr>
              <w:t>2</w:t>
            </w:r>
            <w:r w:rsidR="00A94BCD" w:rsidRPr="00A94BCD">
              <w:rPr>
                <w:rFonts w:ascii="Arial" w:eastAsia="Calibri" w:hAnsi="Arial" w:cs="Arial"/>
                <w:b/>
                <w:bCs/>
                <w:sz w:val="22"/>
                <w:vertAlign w:val="superscript"/>
              </w:rPr>
              <w:t>nd</w:t>
            </w:r>
            <w:r w:rsidR="00A94BCD">
              <w:rPr>
                <w:rFonts w:ascii="Arial" w:eastAsia="Calibri" w:hAnsi="Arial" w:cs="Arial"/>
                <w:b/>
                <w:bCs/>
                <w:sz w:val="22"/>
              </w:rPr>
              <w:t xml:space="preserve"> </w:t>
            </w:r>
            <w:r w:rsidR="009445DA">
              <w:rPr>
                <w:rFonts w:ascii="Arial" w:eastAsia="Calibri" w:hAnsi="Arial" w:cs="Arial"/>
                <w:b/>
                <w:bCs/>
                <w:sz w:val="22"/>
              </w:rPr>
              <w:t>Qtr</w:t>
            </w:r>
            <w:r w:rsidRPr="00D42F01">
              <w:rPr>
                <w:rFonts w:ascii="Arial" w:eastAsia="Calibri" w:hAnsi="Arial" w:cs="Arial"/>
                <w:b/>
                <w:sz w:val="22"/>
              </w:rPr>
              <w:t xml:space="preserve"> Sale Prices</w:t>
            </w:r>
            <w:r w:rsidRPr="005C3BB5">
              <w:rPr>
                <w:rFonts w:ascii="Arial" w:eastAsia="Calibri" w:hAnsi="Arial" w:cs="Arial"/>
                <w:bCs/>
                <w:sz w:val="18"/>
                <w:szCs w:val="18"/>
              </w:rPr>
              <w:t xml:space="preserve"> (Jan 1 – </w:t>
            </w:r>
            <w:r w:rsidR="00A94BCD">
              <w:rPr>
                <w:rFonts w:ascii="Arial" w:eastAsia="Calibri" w:hAnsi="Arial" w:cs="Arial"/>
                <w:bCs/>
                <w:sz w:val="18"/>
                <w:szCs w:val="18"/>
              </w:rPr>
              <w:t>Jun</w:t>
            </w:r>
            <w:r>
              <w:rPr>
                <w:rFonts w:ascii="Arial" w:eastAsia="Calibri" w:hAnsi="Arial" w:cs="Arial"/>
                <w:bCs/>
                <w:sz w:val="18"/>
                <w:szCs w:val="18"/>
              </w:rPr>
              <w:t xml:space="preserve"> 3</w:t>
            </w:r>
            <w:r w:rsidR="00A94BCD">
              <w:rPr>
                <w:rFonts w:ascii="Arial" w:eastAsia="Calibri" w:hAnsi="Arial" w:cs="Arial"/>
                <w:bCs/>
                <w:sz w:val="18"/>
                <w:szCs w:val="18"/>
              </w:rPr>
              <w:t>0</w:t>
            </w:r>
            <w:r w:rsidRPr="005C3BB5">
              <w:rPr>
                <w:rFonts w:ascii="Arial" w:eastAsia="Calibri" w:hAnsi="Arial" w:cs="Arial"/>
                <w:bCs/>
                <w:sz w:val="18"/>
                <w:szCs w:val="18"/>
              </w:rPr>
              <w:t>)</w:t>
            </w:r>
          </w:p>
        </w:tc>
      </w:tr>
      <w:tr w:rsidR="000666AB" w:rsidRPr="00DE1D23" w14:paraId="20B1C8CB" w14:textId="77777777" w:rsidTr="000666AB">
        <w:trPr>
          <w:trHeight w:val="288"/>
        </w:trPr>
        <w:tc>
          <w:tcPr>
            <w:tcW w:w="1783" w:type="dxa"/>
            <w:tcBorders>
              <w:top w:val="nil"/>
              <w:left w:val="nil"/>
              <w:bottom w:val="nil"/>
              <w:right w:val="single" w:sz="12" w:space="0" w:color="FFFFFF"/>
            </w:tcBorders>
            <w:shd w:val="clear" w:color="auto" w:fill="1F4E79"/>
            <w:vAlign w:val="center"/>
            <w:hideMark/>
          </w:tcPr>
          <w:p w14:paraId="76D25E23" w14:textId="77777777" w:rsidR="000666AB" w:rsidRPr="00DE1D23" w:rsidRDefault="000666AB" w:rsidP="000666AB">
            <w:pPr>
              <w:ind w:left="175" w:right="-15"/>
              <w:contextualSpacing w:val="0"/>
              <w:rPr>
                <w:rFonts w:ascii="Arial" w:eastAsia="Calibri" w:hAnsi="Arial" w:cs="Arial"/>
                <w:b/>
                <w:color w:val="FFFFFF"/>
                <w:sz w:val="20"/>
                <w:szCs w:val="20"/>
              </w:rPr>
            </w:pPr>
            <w:r w:rsidRPr="00DE1D23">
              <w:rPr>
                <w:rFonts w:ascii="Arial" w:eastAsia="Calibri" w:hAnsi="Arial" w:cs="Arial"/>
                <w:b/>
                <w:color w:val="FFFFFF"/>
                <w:sz w:val="20"/>
                <w:szCs w:val="20"/>
              </w:rPr>
              <w:t>County</w:t>
            </w:r>
          </w:p>
        </w:tc>
        <w:tc>
          <w:tcPr>
            <w:tcW w:w="1264"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7F72631E" w14:textId="7F664EE9" w:rsidR="000666AB" w:rsidRPr="00DE1D23" w:rsidRDefault="000666AB" w:rsidP="000666AB">
            <w:pPr>
              <w:spacing w:line="207" w:lineRule="atLeast"/>
              <w:ind w:left="44" w:right="-15"/>
              <w:contextualSpacing w:val="0"/>
              <w:jc w:val="center"/>
              <w:rPr>
                <w:rFonts w:ascii="Arial" w:eastAsia="Calibri" w:hAnsi="Arial" w:cs="Arial"/>
                <w:color w:val="FFFFFF"/>
                <w:sz w:val="20"/>
                <w:szCs w:val="20"/>
              </w:rPr>
            </w:pPr>
            <w:r w:rsidRPr="00DE1D23">
              <w:rPr>
                <w:rFonts w:ascii="Arial" w:eastAsia="Calibri" w:hAnsi="Arial" w:cs="Arial"/>
                <w:color w:val="FFFFFF"/>
                <w:sz w:val="20"/>
                <w:szCs w:val="20"/>
              </w:rPr>
              <w:t>202</w:t>
            </w:r>
            <w:r w:rsidR="006D2AF9">
              <w:rPr>
                <w:rFonts w:ascii="Arial" w:eastAsia="Calibri" w:hAnsi="Arial" w:cs="Arial"/>
                <w:color w:val="FFFFFF"/>
                <w:sz w:val="20"/>
                <w:szCs w:val="20"/>
              </w:rPr>
              <w:t>5</w:t>
            </w:r>
          </w:p>
        </w:tc>
        <w:tc>
          <w:tcPr>
            <w:tcW w:w="118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62516038" w14:textId="587B6F37" w:rsidR="000666AB" w:rsidRPr="00DE1D23" w:rsidRDefault="000666AB" w:rsidP="000666AB">
            <w:pPr>
              <w:spacing w:line="207" w:lineRule="atLeast"/>
              <w:ind w:right="-15"/>
              <w:contextualSpacing w:val="0"/>
              <w:jc w:val="center"/>
              <w:rPr>
                <w:rFonts w:ascii="Arial" w:eastAsia="Calibri" w:hAnsi="Arial" w:cs="Arial"/>
                <w:color w:val="FFFFFF"/>
                <w:sz w:val="20"/>
                <w:szCs w:val="20"/>
              </w:rPr>
            </w:pPr>
            <w:r w:rsidRPr="00DE1D23">
              <w:rPr>
                <w:rFonts w:ascii="Arial" w:eastAsia="Calibri" w:hAnsi="Arial" w:cs="Arial"/>
                <w:color w:val="FFFFFF"/>
                <w:sz w:val="20"/>
                <w:szCs w:val="20"/>
              </w:rPr>
              <w:t>202</w:t>
            </w:r>
            <w:r w:rsidR="006D2AF9">
              <w:rPr>
                <w:rFonts w:ascii="Arial" w:eastAsia="Calibri" w:hAnsi="Arial" w:cs="Arial"/>
                <w:color w:val="FFFFFF"/>
                <w:sz w:val="20"/>
                <w:szCs w:val="20"/>
              </w:rPr>
              <w:t>6</w:t>
            </w:r>
          </w:p>
        </w:tc>
        <w:tc>
          <w:tcPr>
            <w:tcW w:w="1262" w:type="dxa"/>
            <w:tcBorders>
              <w:top w:val="nil"/>
              <w:left w:val="single" w:sz="12" w:space="0" w:color="FFFFFF"/>
              <w:bottom w:val="nil"/>
              <w:right w:val="nil"/>
            </w:tcBorders>
            <w:shd w:val="clear" w:color="auto" w:fill="1F4E79"/>
            <w:vAlign w:val="center"/>
          </w:tcPr>
          <w:p w14:paraId="66E53AF4" w14:textId="77777777" w:rsidR="000666AB" w:rsidRPr="00DE1D23" w:rsidRDefault="000666AB" w:rsidP="000666AB">
            <w:pPr>
              <w:ind w:left="89" w:right="60"/>
              <w:contextualSpacing w:val="0"/>
              <w:jc w:val="center"/>
              <w:rPr>
                <w:rFonts w:ascii="Arial" w:eastAsia="Calibri" w:hAnsi="Arial" w:cs="Arial"/>
                <w:color w:val="FFFFFF"/>
                <w:sz w:val="20"/>
                <w:szCs w:val="20"/>
              </w:rPr>
            </w:pPr>
            <w:r w:rsidRPr="00DE1D23">
              <w:rPr>
                <w:rFonts w:ascii="Arial" w:eastAsia="Calibri" w:hAnsi="Arial" w:cs="Arial"/>
                <w:color w:val="FFFFFF"/>
                <w:sz w:val="20"/>
                <w:szCs w:val="20"/>
              </w:rPr>
              <w:t>$ Change</w:t>
            </w:r>
          </w:p>
        </w:tc>
        <w:tc>
          <w:tcPr>
            <w:tcW w:w="992" w:type="dxa"/>
            <w:tcBorders>
              <w:top w:val="nil"/>
              <w:left w:val="single" w:sz="12" w:space="0" w:color="FFFFFF"/>
              <w:bottom w:val="nil"/>
              <w:right w:val="nil"/>
            </w:tcBorders>
            <w:shd w:val="clear" w:color="auto" w:fill="1F4E79"/>
            <w:vAlign w:val="center"/>
          </w:tcPr>
          <w:p w14:paraId="03139117" w14:textId="77777777" w:rsidR="000666AB" w:rsidRPr="00DE1D23" w:rsidRDefault="000666AB" w:rsidP="000666AB">
            <w:pPr>
              <w:ind w:right="-15"/>
              <w:contextualSpacing w:val="0"/>
              <w:jc w:val="center"/>
              <w:rPr>
                <w:rFonts w:ascii="Arial" w:eastAsia="Calibri" w:hAnsi="Arial" w:cs="Arial"/>
                <w:color w:val="FFFFFF"/>
                <w:sz w:val="20"/>
                <w:szCs w:val="20"/>
              </w:rPr>
            </w:pPr>
            <w:r w:rsidRPr="00DB59A4">
              <w:rPr>
                <w:rFonts w:ascii="Arial Narrow" w:hAnsi="Arial Narrow" w:cs="Arial"/>
                <w:color w:val="FFFFFF" w:themeColor="background1"/>
                <w:sz w:val="20"/>
                <w:szCs w:val="20"/>
              </w:rPr>
              <w:t>% Change</w:t>
            </w:r>
          </w:p>
        </w:tc>
      </w:tr>
      <w:tr w:rsidR="001A2180" w:rsidRPr="00DE1D23" w14:paraId="232C60A2" w14:textId="77777777" w:rsidTr="009F68E1">
        <w:trPr>
          <w:trHeight w:val="288"/>
        </w:trPr>
        <w:tc>
          <w:tcPr>
            <w:tcW w:w="1783" w:type="dxa"/>
            <w:tcBorders>
              <w:top w:val="nil"/>
              <w:left w:val="nil"/>
              <w:bottom w:val="nil"/>
              <w:right w:val="nil"/>
            </w:tcBorders>
            <w:tcMar>
              <w:top w:w="0" w:type="dxa"/>
              <w:left w:w="108" w:type="dxa"/>
              <w:bottom w:w="0" w:type="dxa"/>
              <w:right w:w="108" w:type="dxa"/>
            </w:tcMar>
            <w:vAlign w:val="center"/>
            <w:hideMark/>
          </w:tcPr>
          <w:p w14:paraId="5F70D862" w14:textId="77777777" w:rsidR="001A2180" w:rsidRPr="00DE1D23" w:rsidRDefault="001A2180" w:rsidP="001A2180">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Milwaukee</w:t>
            </w:r>
          </w:p>
        </w:tc>
        <w:tc>
          <w:tcPr>
            <w:tcW w:w="1264" w:type="dxa"/>
            <w:tcBorders>
              <w:top w:val="nil"/>
              <w:left w:val="nil"/>
              <w:bottom w:val="nil"/>
              <w:right w:val="nil"/>
            </w:tcBorders>
            <w:tcMar>
              <w:top w:w="0" w:type="dxa"/>
              <w:left w:w="108" w:type="dxa"/>
              <w:bottom w:w="0" w:type="dxa"/>
              <w:right w:w="108" w:type="dxa"/>
            </w:tcMar>
          </w:tcPr>
          <w:p w14:paraId="072A00C5" w14:textId="6511F59A" w:rsidR="001A2180" w:rsidRPr="001A2180" w:rsidRDefault="001A2180" w:rsidP="001A2180">
            <w:pPr>
              <w:spacing w:line="252" w:lineRule="auto"/>
              <w:ind w:left="43" w:right="60"/>
              <w:contextualSpacing w:val="0"/>
              <w:jc w:val="right"/>
              <w:rPr>
                <w:rFonts w:ascii="Arial" w:eastAsia="Calibri" w:hAnsi="Arial" w:cs="Arial"/>
                <w:sz w:val="20"/>
                <w:szCs w:val="20"/>
              </w:rPr>
            </w:pPr>
            <w:r w:rsidRPr="001A2180">
              <w:rPr>
                <w:rFonts w:ascii="Arial" w:hAnsi="Arial" w:cs="Arial"/>
                <w:sz w:val="20"/>
                <w:szCs w:val="20"/>
              </w:rPr>
              <w:t xml:space="preserve"> $316,595 </w:t>
            </w:r>
          </w:p>
        </w:tc>
        <w:tc>
          <w:tcPr>
            <w:tcW w:w="1183" w:type="dxa"/>
            <w:tcBorders>
              <w:top w:val="nil"/>
              <w:left w:val="nil"/>
              <w:bottom w:val="nil"/>
              <w:right w:val="nil"/>
            </w:tcBorders>
            <w:tcMar>
              <w:top w:w="0" w:type="dxa"/>
              <w:left w:w="108" w:type="dxa"/>
              <w:bottom w:w="0" w:type="dxa"/>
              <w:right w:w="108" w:type="dxa"/>
            </w:tcMar>
          </w:tcPr>
          <w:p w14:paraId="716C3EE2" w14:textId="55E2869F"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$331,063 </w:t>
            </w:r>
          </w:p>
        </w:tc>
        <w:tc>
          <w:tcPr>
            <w:tcW w:w="1262" w:type="dxa"/>
            <w:tcBorders>
              <w:top w:val="nil"/>
              <w:left w:val="nil"/>
              <w:bottom w:val="nil"/>
              <w:right w:val="nil"/>
            </w:tcBorders>
          </w:tcPr>
          <w:p w14:paraId="60B56294" w14:textId="2D66DAB1"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$14,468 </w:t>
            </w:r>
          </w:p>
        </w:tc>
        <w:tc>
          <w:tcPr>
            <w:tcW w:w="992" w:type="dxa"/>
            <w:tcBorders>
              <w:top w:val="nil"/>
              <w:left w:val="nil"/>
              <w:bottom w:val="nil"/>
              <w:right w:val="nil"/>
            </w:tcBorders>
          </w:tcPr>
          <w:p w14:paraId="2993B8FC" w14:textId="1319064C" w:rsidR="001A2180" w:rsidRPr="001A2180" w:rsidRDefault="001A2180" w:rsidP="001A2180">
            <w:pPr>
              <w:spacing w:line="252" w:lineRule="auto"/>
              <w:ind w:left="72" w:right="90"/>
              <w:contextualSpacing w:val="0"/>
              <w:jc w:val="right"/>
              <w:rPr>
                <w:rFonts w:ascii="Arial" w:eastAsia="Calibri" w:hAnsi="Arial" w:cs="Arial"/>
                <w:sz w:val="20"/>
                <w:szCs w:val="20"/>
              </w:rPr>
            </w:pPr>
            <w:r w:rsidRPr="001A2180">
              <w:rPr>
                <w:rFonts w:ascii="Arial" w:hAnsi="Arial" w:cs="Arial"/>
                <w:sz w:val="20"/>
                <w:szCs w:val="20"/>
              </w:rPr>
              <w:t>4.6%</w:t>
            </w:r>
          </w:p>
        </w:tc>
      </w:tr>
      <w:tr w:rsidR="001A2180" w:rsidRPr="00DE1D23" w14:paraId="5BCC6E05" w14:textId="77777777" w:rsidTr="009F68E1">
        <w:trPr>
          <w:trHeight w:val="288"/>
        </w:trPr>
        <w:tc>
          <w:tcPr>
            <w:tcW w:w="1783" w:type="dxa"/>
            <w:tcBorders>
              <w:top w:val="nil"/>
              <w:left w:val="nil"/>
              <w:bottom w:val="nil"/>
              <w:right w:val="nil"/>
            </w:tcBorders>
            <w:shd w:val="clear" w:color="auto" w:fill="D5DCE4" w:themeFill="text2" w:themeFillTint="33"/>
            <w:tcMar>
              <w:top w:w="0" w:type="dxa"/>
              <w:left w:w="108" w:type="dxa"/>
              <w:bottom w:w="0" w:type="dxa"/>
              <w:right w:w="108" w:type="dxa"/>
            </w:tcMar>
            <w:vAlign w:val="center"/>
            <w:hideMark/>
          </w:tcPr>
          <w:p w14:paraId="7883EC75" w14:textId="77777777" w:rsidR="001A2180" w:rsidRPr="00DE1D23" w:rsidRDefault="001A2180" w:rsidP="001A2180">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Waukesha</w:t>
            </w:r>
          </w:p>
        </w:tc>
        <w:tc>
          <w:tcPr>
            <w:tcW w:w="1264" w:type="dxa"/>
            <w:tcBorders>
              <w:top w:val="nil"/>
              <w:left w:val="nil"/>
              <w:bottom w:val="nil"/>
              <w:right w:val="nil"/>
            </w:tcBorders>
            <w:shd w:val="clear" w:color="auto" w:fill="D5DCE4" w:themeFill="text2" w:themeFillTint="33"/>
            <w:tcMar>
              <w:top w:w="0" w:type="dxa"/>
              <w:left w:w="108" w:type="dxa"/>
              <w:bottom w:w="0" w:type="dxa"/>
              <w:right w:w="108" w:type="dxa"/>
            </w:tcMar>
          </w:tcPr>
          <w:p w14:paraId="78133AE3" w14:textId="347A4587" w:rsidR="001A2180" w:rsidRPr="001A2180" w:rsidRDefault="001A2180" w:rsidP="001A2180">
            <w:pPr>
              <w:spacing w:line="252" w:lineRule="auto"/>
              <w:ind w:left="43" w:right="60"/>
              <w:contextualSpacing w:val="0"/>
              <w:jc w:val="right"/>
              <w:rPr>
                <w:rFonts w:ascii="Arial" w:eastAsia="Calibri" w:hAnsi="Arial" w:cs="Arial"/>
                <w:sz w:val="20"/>
                <w:szCs w:val="20"/>
              </w:rPr>
            </w:pPr>
            <w:r w:rsidRPr="001A2180">
              <w:rPr>
                <w:rFonts w:ascii="Arial" w:hAnsi="Arial" w:cs="Arial"/>
                <w:sz w:val="20"/>
                <w:szCs w:val="20"/>
              </w:rPr>
              <w:t xml:space="preserve"> $551,298 </w:t>
            </w:r>
          </w:p>
        </w:tc>
        <w:tc>
          <w:tcPr>
            <w:tcW w:w="1183" w:type="dxa"/>
            <w:tcBorders>
              <w:top w:val="nil"/>
              <w:left w:val="nil"/>
              <w:bottom w:val="nil"/>
              <w:right w:val="nil"/>
            </w:tcBorders>
            <w:shd w:val="clear" w:color="auto" w:fill="D5DCE4" w:themeFill="text2" w:themeFillTint="33"/>
            <w:tcMar>
              <w:top w:w="0" w:type="dxa"/>
              <w:left w:w="108" w:type="dxa"/>
              <w:bottom w:w="0" w:type="dxa"/>
              <w:right w:w="108" w:type="dxa"/>
            </w:tcMar>
          </w:tcPr>
          <w:p w14:paraId="14C7165F" w14:textId="108EC1DE"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$563,178 </w:t>
            </w:r>
          </w:p>
        </w:tc>
        <w:tc>
          <w:tcPr>
            <w:tcW w:w="1262" w:type="dxa"/>
            <w:tcBorders>
              <w:top w:val="nil"/>
              <w:left w:val="nil"/>
              <w:bottom w:val="nil"/>
              <w:right w:val="nil"/>
            </w:tcBorders>
            <w:shd w:val="clear" w:color="auto" w:fill="D5DCE4" w:themeFill="text2" w:themeFillTint="33"/>
          </w:tcPr>
          <w:p w14:paraId="34B1F063" w14:textId="0B6A3FB8"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$11,880 </w:t>
            </w:r>
          </w:p>
        </w:tc>
        <w:tc>
          <w:tcPr>
            <w:tcW w:w="992" w:type="dxa"/>
            <w:tcBorders>
              <w:top w:val="nil"/>
              <w:left w:val="nil"/>
              <w:bottom w:val="nil"/>
              <w:right w:val="nil"/>
            </w:tcBorders>
            <w:shd w:val="clear" w:color="auto" w:fill="D5DCE4" w:themeFill="text2" w:themeFillTint="33"/>
          </w:tcPr>
          <w:p w14:paraId="295FD072" w14:textId="7A145A3A" w:rsidR="001A2180" w:rsidRPr="001A2180" w:rsidRDefault="001A2180" w:rsidP="001A2180">
            <w:pPr>
              <w:spacing w:line="252" w:lineRule="auto"/>
              <w:ind w:left="72" w:right="90"/>
              <w:contextualSpacing w:val="0"/>
              <w:jc w:val="right"/>
              <w:rPr>
                <w:rFonts w:ascii="Arial" w:eastAsia="Calibri" w:hAnsi="Arial" w:cs="Arial"/>
                <w:sz w:val="20"/>
                <w:szCs w:val="20"/>
              </w:rPr>
            </w:pPr>
            <w:r w:rsidRPr="001A2180">
              <w:rPr>
                <w:rFonts w:ascii="Arial" w:hAnsi="Arial" w:cs="Arial"/>
                <w:sz w:val="20"/>
                <w:szCs w:val="20"/>
              </w:rPr>
              <w:t>2.2%</w:t>
            </w:r>
          </w:p>
        </w:tc>
      </w:tr>
      <w:tr w:rsidR="001A2180" w:rsidRPr="00DE1D23" w14:paraId="1E50A212" w14:textId="77777777" w:rsidTr="009F68E1">
        <w:trPr>
          <w:trHeight w:val="288"/>
        </w:trPr>
        <w:tc>
          <w:tcPr>
            <w:tcW w:w="1783" w:type="dxa"/>
            <w:tcBorders>
              <w:top w:val="nil"/>
              <w:left w:val="nil"/>
              <w:bottom w:val="nil"/>
              <w:right w:val="nil"/>
            </w:tcBorders>
            <w:tcMar>
              <w:top w:w="0" w:type="dxa"/>
              <w:left w:w="108" w:type="dxa"/>
              <w:bottom w:w="0" w:type="dxa"/>
              <w:right w:w="108" w:type="dxa"/>
            </w:tcMar>
            <w:vAlign w:val="center"/>
            <w:hideMark/>
          </w:tcPr>
          <w:p w14:paraId="4CA59008" w14:textId="77777777" w:rsidR="001A2180" w:rsidRPr="00DE1D23" w:rsidRDefault="001A2180" w:rsidP="001A2180">
            <w:pPr>
              <w:spacing w:line="252" w:lineRule="auto"/>
              <w:ind w:left="62" w:right="-15"/>
              <w:contextualSpacing w:val="0"/>
              <w:rPr>
                <w:rFonts w:ascii="Arial" w:eastAsia="Calibri" w:hAnsi="Arial" w:cs="Arial"/>
                <w:sz w:val="20"/>
                <w:szCs w:val="20"/>
              </w:rPr>
            </w:pPr>
            <w:r>
              <w:rPr>
                <w:rFonts w:ascii="Arial" w:eastAsia="Calibri" w:hAnsi="Arial" w:cs="Arial"/>
                <w:sz w:val="20"/>
                <w:szCs w:val="20"/>
              </w:rPr>
              <w:t>Ozaukee</w:t>
            </w:r>
          </w:p>
        </w:tc>
        <w:tc>
          <w:tcPr>
            <w:tcW w:w="1264" w:type="dxa"/>
            <w:tcBorders>
              <w:top w:val="nil"/>
              <w:left w:val="nil"/>
              <w:bottom w:val="nil"/>
              <w:right w:val="nil"/>
            </w:tcBorders>
            <w:tcMar>
              <w:top w:w="0" w:type="dxa"/>
              <w:left w:w="108" w:type="dxa"/>
              <w:bottom w:w="0" w:type="dxa"/>
              <w:right w:w="108" w:type="dxa"/>
            </w:tcMar>
          </w:tcPr>
          <w:p w14:paraId="0693510F" w14:textId="533E9F38" w:rsidR="001A2180" w:rsidRPr="001A2180" w:rsidRDefault="001A2180" w:rsidP="001A2180">
            <w:pPr>
              <w:spacing w:line="252" w:lineRule="auto"/>
              <w:ind w:left="43" w:right="60"/>
              <w:contextualSpacing w:val="0"/>
              <w:jc w:val="right"/>
              <w:rPr>
                <w:rFonts w:ascii="Arial" w:eastAsia="Calibri" w:hAnsi="Arial" w:cs="Arial"/>
                <w:sz w:val="20"/>
                <w:szCs w:val="20"/>
              </w:rPr>
            </w:pPr>
            <w:r w:rsidRPr="001A2180">
              <w:rPr>
                <w:rFonts w:ascii="Arial" w:hAnsi="Arial" w:cs="Arial"/>
                <w:sz w:val="20"/>
                <w:szCs w:val="20"/>
              </w:rPr>
              <w:t xml:space="preserve"> $545,130 </w:t>
            </w:r>
          </w:p>
        </w:tc>
        <w:tc>
          <w:tcPr>
            <w:tcW w:w="1183" w:type="dxa"/>
            <w:tcBorders>
              <w:top w:val="nil"/>
              <w:left w:val="nil"/>
              <w:bottom w:val="nil"/>
              <w:right w:val="nil"/>
            </w:tcBorders>
            <w:tcMar>
              <w:top w:w="0" w:type="dxa"/>
              <w:left w:w="108" w:type="dxa"/>
              <w:bottom w:w="0" w:type="dxa"/>
              <w:right w:w="108" w:type="dxa"/>
            </w:tcMar>
          </w:tcPr>
          <w:p w14:paraId="5C99713B" w14:textId="3388A2E1"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$601,313 </w:t>
            </w:r>
          </w:p>
        </w:tc>
        <w:tc>
          <w:tcPr>
            <w:tcW w:w="1262" w:type="dxa"/>
            <w:tcBorders>
              <w:top w:val="nil"/>
              <w:left w:val="nil"/>
              <w:bottom w:val="nil"/>
              <w:right w:val="nil"/>
            </w:tcBorders>
          </w:tcPr>
          <w:p w14:paraId="0599DAE6" w14:textId="5BCAB7ED"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$56,183 </w:t>
            </w:r>
          </w:p>
        </w:tc>
        <w:tc>
          <w:tcPr>
            <w:tcW w:w="992" w:type="dxa"/>
            <w:tcBorders>
              <w:top w:val="nil"/>
              <w:left w:val="nil"/>
              <w:bottom w:val="nil"/>
              <w:right w:val="nil"/>
            </w:tcBorders>
          </w:tcPr>
          <w:p w14:paraId="7A6F63B2" w14:textId="30C24525" w:rsidR="001A2180" w:rsidRPr="001A2180" w:rsidRDefault="001A2180" w:rsidP="001A2180">
            <w:pPr>
              <w:spacing w:line="252" w:lineRule="auto"/>
              <w:ind w:left="72" w:right="90"/>
              <w:contextualSpacing w:val="0"/>
              <w:jc w:val="right"/>
              <w:rPr>
                <w:rFonts w:ascii="Arial" w:eastAsia="Calibri" w:hAnsi="Arial" w:cs="Arial"/>
                <w:sz w:val="20"/>
                <w:szCs w:val="20"/>
              </w:rPr>
            </w:pPr>
            <w:r w:rsidRPr="001A2180">
              <w:rPr>
                <w:rFonts w:ascii="Arial" w:hAnsi="Arial" w:cs="Arial"/>
                <w:sz w:val="20"/>
                <w:szCs w:val="20"/>
              </w:rPr>
              <w:t>10.3%</w:t>
            </w:r>
          </w:p>
        </w:tc>
      </w:tr>
      <w:tr w:rsidR="001A2180" w:rsidRPr="00DE1D23" w14:paraId="5DE81204" w14:textId="77777777" w:rsidTr="009F68E1">
        <w:trPr>
          <w:trHeight w:val="288"/>
        </w:trPr>
        <w:tc>
          <w:tcPr>
            <w:tcW w:w="17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hideMark/>
          </w:tcPr>
          <w:p w14:paraId="16665080" w14:textId="77777777" w:rsidR="001A2180" w:rsidRPr="00DE1D23" w:rsidRDefault="001A2180" w:rsidP="001A2180">
            <w:pPr>
              <w:spacing w:line="252" w:lineRule="auto"/>
              <w:ind w:left="62" w:right="-15"/>
              <w:contextualSpacing w:val="0"/>
              <w:rPr>
                <w:rFonts w:ascii="Arial" w:eastAsia="Calibri" w:hAnsi="Arial" w:cs="Arial"/>
                <w:sz w:val="20"/>
                <w:szCs w:val="20"/>
              </w:rPr>
            </w:pPr>
            <w:r>
              <w:rPr>
                <w:rFonts w:ascii="Arial" w:eastAsia="Calibri" w:hAnsi="Arial" w:cs="Arial"/>
                <w:sz w:val="20"/>
                <w:szCs w:val="20"/>
              </w:rPr>
              <w:t>Washington</w:t>
            </w:r>
          </w:p>
        </w:tc>
        <w:tc>
          <w:tcPr>
            <w:tcW w:w="1264"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tcPr>
          <w:p w14:paraId="6E2B0EAC" w14:textId="55924B72" w:rsidR="001A2180" w:rsidRPr="001A2180" w:rsidRDefault="001A2180" w:rsidP="001A2180">
            <w:pPr>
              <w:spacing w:line="252" w:lineRule="auto"/>
              <w:ind w:left="43" w:right="60"/>
              <w:contextualSpacing w:val="0"/>
              <w:jc w:val="right"/>
              <w:rPr>
                <w:rFonts w:ascii="Arial" w:eastAsia="Calibri" w:hAnsi="Arial" w:cs="Arial"/>
                <w:sz w:val="20"/>
                <w:szCs w:val="20"/>
              </w:rPr>
            </w:pPr>
            <w:r w:rsidRPr="001A2180">
              <w:rPr>
                <w:rFonts w:ascii="Arial" w:hAnsi="Arial" w:cs="Arial"/>
                <w:sz w:val="20"/>
                <w:szCs w:val="20"/>
              </w:rPr>
              <w:t xml:space="preserve"> $417,268 </w:t>
            </w:r>
          </w:p>
        </w:tc>
        <w:tc>
          <w:tcPr>
            <w:tcW w:w="11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tcPr>
          <w:p w14:paraId="04DEC3F7" w14:textId="19B11037"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$438,649 </w:t>
            </w:r>
          </w:p>
        </w:tc>
        <w:tc>
          <w:tcPr>
            <w:tcW w:w="1262" w:type="dxa"/>
            <w:tcBorders>
              <w:top w:val="nil"/>
              <w:left w:val="nil"/>
              <w:bottom w:val="nil"/>
              <w:right w:val="nil"/>
            </w:tcBorders>
            <w:shd w:val="clear" w:color="auto" w:fill="D5DCE4" w:themeFill="text2" w:themeFillTint="33"/>
          </w:tcPr>
          <w:p w14:paraId="7110885C" w14:textId="6D3FC795"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$21,381 </w:t>
            </w:r>
          </w:p>
        </w:tc>
        <w:tc>
          <w:tcPr>
            <w:tcW w:w="992" w:type="dxa"/>
            <w:tcBorders>
              <w:top w:val="nil"/>
              <w:left w:val="nil"/>
              <w:bottom w:val="nil"/>
              <w:right w:val="nil"/>
            </w:tcBorders>
            <w:shd w:val="clear" w:color="auto" w:fill="D5DCE4" w:themeFill="text2" w:themeFillTint="33"/>
          </w:tcPr>
          <w:p w14:paraId="224C2304" w14:textId="5849A75A" w:rsidR="001A2180" w:rsidRPr="001A2180" w:rsidRDefault="001A2180" w:rsidP="001A2180">
            <w:pPr>
              <w:spacing w:line="252" w:lineRule="auto"/>
              <w:ind w:left="72" w:right="90"/>
              <w:contextualSpacing w:val="0"/>
              <w:jc w:val="right"/>
              <w:rPr>
                <w:rFonts w:ascii="Arial" w:eastAsia="Calibri" w:hAnsi="Arial" w:cs="Arial"/>
                <w:sz w:val="20"/>
                <w:szCs w:val="20"/>
              </w:rPr>
            </w:pPr>
            <w:r w:rsidRPr="001A2180">
              <w:rPr>
                <w:rFonts w:ascii="Arial" w:hAnsi="Arial" w:cs="Arial"/>
                <w:sz w:val="20"/>
                <w:szCs w:val="20"/>
              </w:rPr>
              <w:t>5.1%</w:t>
            </w:r>
          </w:p>
        </w:tc>
      </w:tr>
      <w:tr w:rsidR="001A2180" w:rsidRPr="00DE1D23" w14:paraId="708FE786" w14:textId="77777777" w:rsidTr="009F68E1">
        <w:trPr>
          <w:trHeight w:val="288"/>
        </w:trPr>
        <w:tc>
          <w:tcPr>
            <w:tcW w:w="1783" w:type="dxa"/>
            <w:tcBorders>
              <w:top w:val="single" w:sz="4" w:space="0" w:color="auto"/>
              <w:left w:val="nil"/>
              <w:bottom w:val="nil"/>
              <w:right w:val="nil"/>
            </w:tcBorders>
            <w:tcMar>
              <w:top w:w="0" w:type="dxa"/>
              <w:left w:w="108" w:type="dxa"/>
              <w:bottom w:w="0" w:type="dxa"/>
              <w:right w:w="108" w:type="dxa"/>
            </w:tcMar>
            <w:vAlign w:val="center"/>
            <w:hideMark/>
          </w:tcPr>
          <w:p w14:paraId="2B07FAD2" w14:textId="77777777" w:rsidR="001A2180" w:rsidRPr="00DE1D23" w:rsidRDefault="001A2180" w:rsidP="001A2180">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Metro Area Avg</w:t>
            </w:r>
          </w:p>
        </w:tc>
        <w:tc>
          <w:tcPr>
            <w:tcW w:w="1264" w:type="dxa"/>
            <w:tcBorders>
              <w:top w:val="single" w:sz="4" w:space="0" w:color="auto"/>
              <w:left w:val="nil"/>
              <w:bottom w:val="nil"/>
              <w:right w:val="nil"/>
            </w:tcBorders>
            <w:tcMar>
              <w:top w:w="0" w:type="dxa"/>
              <w:left w:w="108" w:type="dxa"/>
              <w:bottom w:w="0" w:type="dxa"/>
              <w:right w:w="108" w:type="dxa"/>
            </w:tcMar>
          </w:tcPr>
          <w:p w14:paraId="6C2E1C2F" w14:textId="0FBA221D" w:rsidR="001A2180" w:rsidRPr="001A2180" w:rsidRDefault="001A2180" w:rsidP="001A2180">
            <w:pPr>
              <w:spacing w:line="252" w:lineRule="auto"/>
              <w:ind w:left="43" w:right="60"/>
              <w:contextualSpacing w:val="0"/>
              <w:jc w:val="right"/>
              <w:rPr>
                <w:rFonts w:ascii="Arial" w:eastAsia="Calibri" w:hAnsi="Arial" w:cs="Arial"/>
                <w:sz w:val="20"/>
                <w:szCs w:val="20"/>
              </w:rPr>
            </w:pPr>
            <w:r w:rsidRPr="001A2180">
              <w:rPr>
                <w:rFonts w:ascii="Arial" w:hAnsi="Arial" w:cs="Arial"/>
                <w:sz w:val="20"/>
                <w:szCs w:val="20"/>
              </w:rPr>
              <w:t xml:space="preserve"> $457,573 </w:t>
            </w:r>
          </w:p>
        </w:tc>
        <w:tc>
          <w:tcPr>
            <w:tcW w:w="1183" w:type="dxa"/>
            <w:tcBorders>
              <w:top w:val="single" w:sz="4" w:space="0" w:color="auto"/>
              <w:left w:val="nil"/>
              <w:bottom w:val="nil"/>
              <w:right w:val="nil"/>
            </w:tcBorders>
            <w:tcMar>
              <w:top w:w="0" w:type="dxa"/>
              <w:left w:w="108" w:type="dxa"/>
              <w:bottom w:w="0" w:type="dxa"/>
              <w:right w:w="108" w:type="dxa"/>
            </w:tcMar>
          </w:tcPr>
          <w:p w14:paraId="3FFC255E" w14:textId="63526BCB" w:rsidR="001A2180" w:rsidRPr="001A2180" w:rsidRDefault="001A2180" w:rsidP="001A2180">
            <w:pPr>
              <w:spacing w:line="252" w:lineRule="auto"/>
              <w:ind w:left="-3"/>
              <w:contextualSpacing w:val="0"/>
              <w:jc w:val="right"/>
              <w:rPr>
                <w:rFonts w:ascii="Arial" w:eastAsia="Calibri" w:hAnsi="Arial" w:cs="Arial"/>
                <w:b/>
                <w:bCs/>
                <w:sz w:val="20"/>
                <w:szCs w:val="20"/>
              </w:rPr>
            </w:pPr>
            <w:r w:rsidRPr="001A2180">
              <w:rPr>
                <w:rFonts w:ascii="Arial" w:hAnsi="Arial" w:cs="Arial"/>
                <w:sz w:val="20"/>
                <w:szCs w:val="20"/>
              </w:rPr>
              <w:t xml:space="preserve"> $483,551 </w:t>
            </w:r>
          </w:p>
        </w:tc>
        <w:tc>
          <w:tcPr>
            <w:tcW w:w="1262" w:type="dxa"/>
            <w:tcBorders>
              <w:top w:val="nil"/>
              <w:left w:val="nil"/>
              <w:bottom w:val="nil"/>
              <w:right w:val="nil"/>
            </w:tcBorders>
          </w:tcPr>
          <w:p w14:paraId="47326F60" w14:textId="08F2ADD3"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$25,978 </w:t>
            </w:r>
          </w:p>
        </w:tc>
        <w:tc>
          <w:tcPr>
            <w:tcW w:w="992" w:type="dxa"/>
            <w:tcBorders>
              <w:top w:val="nil"/>
              <w:left w:val="nil"/>
              <w:bottom w:val="nil"/>
              <w:right w:val="nil"/>
            </w:tcBorders>
          </w:tcPr>
          <w:p w14:paraId="74E782C0" w14:textId="267083A2" w:rsidR="001A2180" w:rsidRPr="001A2180" w:rsidRDefault="001A2180" w:rsidP="001A2180">
            <w:pPr>
              <w:spacing w:line="252" w:lineRule="auto"/>
              <w:ind w:left="72" w:right="90"/>
              <w:contextualSpacing w:val="0"/>
              <w:jc w:val="right"/>
              <w:rPr>
                <w:rFonts w:ascii="Arial" w:eastAsia="Calibri" w:hAnsi="Arial" w:cs="Arial"/>
                <w:sz w:val="20"/>
                <w:szCs w:val="20"/>
              </w:rPr>
            </w:pPr>
            <w:r w:rsidRPr="001A2180">
              <w:rPr>
                <w:rFonts w:ascii="Arial" w:hAnsi="Arial" w:cs="Arial"/>
                <w:sz w:val="20"/>
                <w:szCs w:val="20"/>
              </w:rPr>
              <w:t>5.7%</w:t>
            </w:r>
          </w:p>
        </w:tc>
      </w:tr>
      <w:tr w:rsidR="000666AB" w:rsidRPr="00DE1D23" w14:paraId="543FAF0A" w14:textId="77777777" w:rsidTr="00A94BCD">
        <w:trPr>
          <w:trHeight w:val="90"/>
        </w:trPr>
        <w:tc>
          <w:tcPr>
            <w:tcW w:w="6484" w:type="dxa"/>
            <w:gridSpan w:val="5"/>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BB1EF8C" w14:textId="77777777" w:rsidR="000666AB" w:rsidRPr="00DB59A4" w:rsidRDefault="000666AB" w:rsidP="00A94BCD">
            <w:pPr>
              <w:spacing w:line="252" w:lineRule="auto"/>
              <w:ind w:left="72" w:right="144"/>
              <w:contextualSpacing w:val="0"/>
              <w:jc w:val="right"/>
              <w:rPr>
                <w:rFonts w:ascii="Arial" w:eastAsia="Calibri" w:hAnsi="Arial" w:cs="Arial"/>
                <w:sz w:val="10"/>
                <w:szCs w:val="10"/>
              </w:rPr>
            </w:pPr>
          </w:p>
        </w:tc>
      </w:tr>
      <w:tr w:rsidR="001A2180" w:rsidRPr="00DE1D23" w14:paraId="003C67DE" w14:textId="77777777" w:rsidTr="00E975FC">
        <w:trPr>
          <w:trHeight w:val="288"/>
        </w:trPr>
        <w:tc>
          <w:tcPr>
            <w:tcW w:w="1783" w:type="dxa"/>
            <w:tcBorders>
              <w:top w:val="nil"/>
              <w:left w:val="nil"/>
              <w:bottom w:val="nil"/>
              <w:right w:val="nil"/>
            </w:tcBorders>
            <w:tcMar>
              <w:top w:w="0" w:type="dxa"/>
              <w:left w:w="108" w:type="dxa"/>
              <w:bottom w:w="0" w:type="dxa"/>
              <w:right w:w="108" w:type="dxa"/>
            </w:tcMar>
            <w:vAlign w:val="center"/>
          </w:tcPr>
          <w:p w14:paraId="2A2B0307" w14:textId="77777777" w:rsidR="001A2180" w:rsidRPr="00DE1D23" w:rsidRDefault="001A2180" w:rsidP="001A2180">
            <w:pPr>
              <w:spacing w:line="252" w:lineRule="auto"/>
              <w:ind w:left="62" w:right="-15"/>
              <w:contextualSpacing w:val="0"/>
              <w:rPr>
                <w:rFonts w:ascii="Arial" w:eastAsia="Calibri" w:hAnsi="Arial" w:cs="Arial"/>
                <w:sz w:val="20"/>
                <w:szCs w:val="20"/>
              </w:rPr>
            </w:pPr>
            <w:r>
              <w:rPr>
                <w:rFonts w:ascii="Arial" w:eastAsia="Calibri" w:hAnsi="Arial" w:cs="Arial"/>
                <w:sz w:val="20"/>
                <w:szCs w:val="20"/>
              </w:rPr>
              <w:t>Sheboygan</w:t>
            </w:r>
          </w:p>
        </w:tc>
        <w:tc>
          <w:tcPr>
            <w:tcW w:w="1264" w:type="dxa"/>
            <w:tcBorders>
              <w:top w:val="nil"/>
              <w:left w:val="nil"/>
              <w:bottom w:val="nil"/>
              <w:right w:val="nil"/>
            </w:tcBorders>
            <w:tcMar>
              <w:top w:w="0" w:type="dxa"/>
              <w:left w:w="108" w:type="dxa"/>
              <w:bottom w:w="0" w:type="dxa"/>
              <w:right w:w="108" w:type="dxa"/>
            </w:tcMar>
          </w:tcPr>
          <w:p w14:paraId="4F1FE8B4" w14:textId="20C663CE" w:rsidR="001A2180" w:rsidRPr="001A2180" w:rsidRDefault="001A2180" w:rsidP="001A2180">
            <w:pPr>
              <w:spacing w:line="252" w:lineRule="auto"/>
              <w:ind w:left="44" w:right="60"/>
              <w:contextualSpacing w:val="0"/>
              <w:jc w:val="right"/>
              <w:rPr>
                <w:rFonts w:ascii="Arial" w:eastAsia="Calibri" w:hAnsi="Arial" w:cs="Arial"/>
                <w:sz w:val="20"/>
                <w:szCs w:val="20"/>
              </w:rPr>
            </w:pPr>
            <w:r w:rsidRPr="001A2180">
              <w:rPr>
                <w:rFonts w:ascii="Arial" w:hAnsi="Arial" w:cs="Arial"/>
                <w:sz w:val="20"/>
                <w:szCs w:val="20"/>
              </w:rPr>
              <w:t xml:space="preserve"> $329,371 </w:t>
            </w:r>
          </w:p>
        </w:tc>
        <w:tc>
          <w:tcPr>
            <w:tcW w:w="1183" w:type="dxa"/>
            <w:tcBorders>
              <w:top w:val="nil"/>
              <w:left w:val="nil"/>
              <w:bottom w:val="nil"/>
              <w:right w:val="nil"/>
            </w:tcBorders>
            <w:tcMar>
              <w:top w:w="0" w:type="dxa"/>
              <w:left w:w="108" w:type="dxa"/>
              <w:bottom w:w="0" w:type="dxa"/>
              <w:right w:w="108" w:type="dxa"/>
            </w:tcMar>
          </w:tcPr>
          <w:p w14:paraId="162F0DF8" w14:textId="5E2C0275"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$348,779 </w:t>
            </w:r>
          </w:p>
        </w:tc>
        <w:tc>
          <w:tcPr>
            <w:tcW w:w="1262" w:type="dxa"/>
            <w:tcBorders>
              <w:top w:val="nil"/>
              <w:left w:val="nil"/>
              <w:bottom w:val="nil"/>
              <w:right w:val="nil"/>
            </w:tcBorders>
          </w:tcPr>
          <w:p w14:paraId="2637AEFF" w14:textId="72746EC7"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$19,408 </w:t>
            </w:r>
          </w:p>
        </w:tc>
        <w:tc>
          <w:tcPr>
            <w:tcW w:w="992" w:type="dxa"/>
            <w:tcBorders>
              <w:top w:val="nil"/>
              <w:left w:val="nil"/>
              <w:bottom w:val="nil"/>
              <w:right w:val="nil"/>
            </w:tcBorders>
          </w:tcPr>
          <w:p w14:paraId="4141468D" w14:textId="18BCB67D" w:rsidR="001A2180" w:rsidRPr="001A2180" w:rsidRDefault="001A2180" w:rsidP="001A2180">
            <w:pPr>
              <w:spacing w:line="252" w:lineRule="auto"/>
              <w:ind w:left="72" w:right="144"/>
              <w:contextualSpacing w:val="0"/>
              <w:jc w:val="right"/>
              <w:rPr>
                <w:rFonts w:ascii="Arial" w:eastAsia="Calibri" w:hAnsi="Arial" w:cs="Arial"/>
                <w:sz w:val="20"/>
                <w:szCs w:val="20"/>
              </w:rPr>
            </w:pPr>
            <w:r w:rsidRPr="001A2180">
              <w:rPr>
                <w:rFonts w:ascii="Arial" w:hAnsi="Arial" w:cs="Arial"/>
                <w:sz w:val="20"/>
                <w:szCs w:val="20"/>
              </w:rPr>
              <w:t>5.9%</w:t>
            </w:r>
          </w:p>
        </w:tc>
      </w:tr>
      <w:tr w:rsidR="001A2180" w:rsidRPr="00DE1D23" w14:paraId="64566F44" w14:textId="77777777" w:rsidTr="00E975FC">
        <w:trPr>
          <w:trHeight w:val="288"/>
        </w:trPr>
        <w:tc>
          <w:tcPr>
            <w:tcW w:w="178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28695E8E" w14:textId="77777777" w:rsidR="001A2180" w:rsidRPr="00DE1D23" w:rsidRDefault="001A2180" w:rsidP="001A2180">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Racine</w:t>
            </w:r>
          </w:p>
        </w:tc>
        <w:tc>
          <w:tcPr>
            <w:tcW w:w="1264" w:type="dxa"/>
            <w:tcBorders>
              <w:top w:val="nil"/>
              <w:left w:val="nil"/>
              <w:bottom w:val="nil"/>
              <w:right w:val="nil"/>
            </w:tcBorders>
            <w:shd w:val="clear" w:color="auto" w:fill="D5DCE4" w:themeFill="text2" w:themeFillTint="33"/>
            <w:tcMar>
              <w:top w:w="0" w:type="dxa"/>
              <w:left w:w="108" w:type="dxa"/>
              <w:bottom w:w="0" w:type="dxa"/>
              <w:right w:w="108" w:type="dxa"/>
            </w:tcMar>
          </w:tcPr>
          <w:p w14:paraId="6D5D3C2F" w14:textId="0553471F" w:rsidR="001A2180" w:rsidRPr="001A2180" w:rsidRDefault="001A2180" w:rsidP="001A2180">
            <w:pPr>
              <w:spacing w:line="252" w:lineRule="auto"/>
              <w:ind w:left="44" w:right="60"/>
              <w:contextualSpacing w:val="0"/>
              <w:jc w:val="right"/>
              <w:rPr>
                <w:rFonts w:ascii="Arial" w:eastAsia="Calibri" w:hAnsi="Arial" w:cs="Arial"/>
                <w:sz w:val="20"/>
                <w:szCs w:val="20"/>
              </w:rPr>
            </w:pPr>
            <w:r w:rsidRPr="001A2180">
              <w:rPr>
                <w:rFonts w:ascii="Arial" w:hAnsi="Arial" w:cs="Arial"/>
                <w:sz w:val="20"/>
                <w:szCs w:val="20"/>
              </w:rPr>
              <w:t xml:space="preserve"> $325,761 </w:t>
            </w:r>
          </w:p>
        </w:tc>
        <w:tc>
          <w:tcPr>
            <w:tcW w:w="1183" w:type="dxa"/>
            <w:tcBorders>
              <w:top w:val="nil"/>
              <w:left w:val="nil"/>
              <w:bottom w:val="nil"/>
              <w:right w:val="nil"/>
            </w:tcBorders>
            <w:shd w:val="clear" w:color="auto" w:fill="D5DCE4" w:themeFill="text2" w:themeFillTint="33"/>
            <w:tcMar>
              <w:top w:w="0" w:type="dxa"/>
              <w:left w:w="108" w:type="dxa"/>
              <w:bottom w:w="0" w:type="dxa"/>
              <w:right w:w="108" w:type="dxa"/>
            </w:tcMar>
          </w:tcPr>
          <w:p w14:paraId="2CDAD40E" w14:textId="6757A3DE"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$351,549 </w:t>
            </w:r>
          </w:p>
        </w:tc>
        <w:tc>
          <w:tcPr>
            <w:tcW w:w="1262" w:type="dxa"/>
            <w:tcBorders>
              <w:top w:val="nil"/>
              <w:left w:val="nil"/>
              <w:bottom w:val="nil"/>
              <w:right w:val="nil"/>
            </w:tcBorders>
            <w:shd w:val="clear" w:color="auto" w:fill="D5DCE4" w:themeFill="text2" w:themeFillTint="33"/>
          </w:tcPr>
          <w:p w14:paraId="6205F606" w14:textId="35307349"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$25,788 </w:t>
            </w:r>
          </w:p>
        </w:tc>
        <w:tc>
          <w:tcPr>
            <w:tcW w:w="992" w:type="dxa"/>
            <w:tcBorders>
              <w:top w:val="nil"/>
              <w:left w:val="nil"/>
              <w:bottom w:val="nil"/>
              <w:right w:val="nil"/>
            </w:tcBorders>
            <w:shd w:val="clear" w:color="auto" w:fill="D5DCE4" w:themeFill="text2" w:themeFillTint="33"/>
          </w:tcPr>
          <w:p w14:paraId="19BC3553" w14:textId="28B8CF2A" w:rsidR="001A2180" w:rsidRPr="001A2180" w:rsidRDefault="001A2180" w:rsidP="001A2180">
            <w:pPr>
              <w:spacing w:line="252" w:lineRule="auto"/>
              <w:ind w:left="72" w:right="144"/>
              <w:contextualSpacing w:val="0"/>
              <w:jc w:val="right"/>
              <w:rPr>
                <w:rFonts w:ascii="Arial" w:eastAsia="Calibri" w:hAnsi="Arial" w:cs="Arial"/>
                <w:sz w:val="20"/>
                <w:szCs w:val="20"/>
              </w:rPr>
            </w:pPr>
            <w:r w:rsidRPr="001A2180">
              <w:rPr>
                <w:rFonts w:ascii="Arial" w:hAnsi="Arial" w:cs="Arial"/>
                <w:sz w:val="20"/>
                <w:szCs w:val="20"/>
              </w:rPr>
              <w:t>7.9%</w:t>
            </w:r>
          </w:p>
        </w:tc>
      </w:tr>
      <w:tr w:rsidR="001A2180" w:rsidRPr="00DE1D23" w14:paraId="032D41E8" w14:textId="77777777" w:rsidTr="00E975FC">
        <w:trPr>
          <w:trHeight w:val="288"/>
        </w:trPr>
        <w:tc>
          <w:tcPr>
            <w:tcW w:w="1783" w:type="dxa"/>
            <w:tcBorders>
              <w:top w:val="nil"/>
              <w:left w:val="nil"/>
              <w:bottom w:val="nil"/>
              <w:right w:val="nil"/>
            </w:tcBorders>
            <w:tcMar>
              <w:top w:w="0" w:type="dxa"/>
              <w:left w:w="108" w:type="dxa"/>
              <w:bottom w:w="0" w:type="dxa"/>
              <w:right w:w="108" w:type="dxa"/>
            </w:tcMar>
            <w:vAlign w:val="center"/>
          </w:tcPr>
          <w:p w14:paraId="62F773CB" w14:textId="77777777" w:rsidR="001A2180" w:rsidRPr="00DE1D23" w:rsidRDefault="001A2180" w:rsidP="001A2180">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Kenosha</w:t>
            </w:r>
          </w:p>
        </w:tc>
        <w:tc>
          <w:tcPr>
            <w:tcW w:w="1264" w:type="dxa"/>
            <w:tcBorders>
              <w:top w:val="nil"/>
              <w:left w:val="nil"/>
              <w:bottom w:val="nil"/>
              <w:right w:val="nil"/>
            </w:tcBorders>
            <w:tcMar>
              <w:top w:w="0" w:type="dxa"/>
              <w:left w:w="108" w:type="dxa"/>
              <w:bottom w:w="0" w:type="dxa"/>
              <w:right w:w="108" w:type="dxa"/>
            </w:tcMar>
          </w:tcPr>
          <w:p w14:paraId="4A2228C2" w14:textId="25EC5FFD" w:rsidR="001A2180" w:rsidRPr="001A2180" w:rsidRDefault="001A2180" w:rsidP="001A2180">
            <w:pPr>
              <w:spacing w:line="252" w:lineRule="auto"/>
              <w:ind w:left="44" w:right="60"/>
              <w:contextualSpacing w:val="0"/>
              <w:jc w:val="right"/>
              <w:rPr>
                <w:rFonts w:ascii="Arial" w:eastAsia="Calibri" w:hAnsi="Arial" w:cs="Arial"/>
                <w:sz w:val="20"/>
                <w:szCs w:val="20"/>
              </w:rPr>
            </w:pPr>
            <w:r w:rsidRPr="001A2180">
              <w:rPr>
                <w:rFonts w:ascii="Arial" w:hAnsi="Arial" w:cs="Arial"/>
                <w:sz w:val="20"/>
                <w:szCs w:val="20"/>
              </w:rPr>
              <w:t xml:space="preserve"> $339,535 </w:t>
            </w:r>
          </w:p>
        </w:tc>
        <w:tc>
          <w:tcPr>
            <w:tcW w:w="1183" w:type="dxa"/>
            <w:tcBorders>
              <w:top w:val="nil"/>
              <w:left w:val="nil"/>
              <w:bottom w:val="nil"/>
              <w:right w:val="nil"/>
            </w:tcBorders>
            <w:tcMar>
              <w:top w:w="0" w:type="dxa"/>
              <w:left w:w="108" w:type="dxa"/>
              <w:bottom w:w="0" w:type="dxa"/>
              <w:right w:w="108" w:type="dxa"/>
            </w:tcMar>
          </w:tcPr>
          <w:p w14:paraId="1B82778A" w14:textId="4926BAD0"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$391,288 </w:t>
            </w:r>
          </w:p>
        </w:tc>
        <w:tc>
          <w:tcPr>
            <w:tcW w:w="1262" w:type="dxa"/>
            <w:tcBorders>
              <w:top w:val="nil"/>
              <w:left w:val="nil"/>
              <w:bottom w:val="nil"/>
              <w:right w:val="nil"/>
            </w:tcBorders>
          </w:tcPr>
          <w:p w14:paraId="7730B389" w14:textId="50DCFA62"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$51,753 </w:t>
            </w:r>
          </w:p>
        </w:tc>
        <w:tc>
          <w:tcPr>
            <w:tcW w:w="992" w:type="dxa"/>
            <w:tcBorders>
              <w:top w:val="nil"/>
              <w:left w:val="nil"/>
              <w:bottom w:val="nil"/>
              <w:right w:val="nil"/>
            </w:tcBorders>
          </w:tcPr>
          <w:p w14:paraId="226476C6" w14:textId="20AA88B3" w:rsidR="001A2180" w:rsidRPr="001A2180" w:rsidRDefault="001A2180" w:rsidP="001A2180">
            <w:pPr>
              <w:spacing w:line="252" w:lineRule="auto"/>
              <w:ind w:left="72" w:right="144"/>
              <w:contextualSpacing w:val="0"/>
              <w:jc w:val="right"/>
              <w:rPr>
                <w:rFonts w:ascii="Arial" w:eastAsia="Calibri" w:hAnsi="Arial" w:cs="Arial"/>
                <w:sz w:val="20"/>
                <w:szCs w:val="20"/>
              </w:rPr>
            </w:pPr>
            <w:r w:rsidRPr="001A2180">
              <w:rPr>
                <w:rFonts w:ascii="Arial" w:hAnsi="Arial" w:cs="Arial"/>
                <w:sz w:val="20"/>
                <w:szCs w:val="20"/>
              </w:rPr>
              <w:t>15.2%</w:t>
            </w:r>
          </w:p>
        </w:tc>
      </w:tr>
      <w:tr w:rsidR="001A2180" w:rsidRPr="00DE1D23" w14:paraId="3FD23450" w14:textId="77777777" w:rsidTr="00E975FC">
        <w:trPr>
          <w:trHeight w:val="288"/>
        </w:trPr>
        <w:tc>
          <w:tcPr>
            <w:tcW w:w="17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7A4608B1" w14:textId="77777777" w:rsidR="001A2180" w:rsidRPr="00DE1D23" w:rsidRDefault="001A2180" w:rsidP="001A2180">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Walworth</w:t>
            </w:r>
          </w:p>
        </w:tc>
        <w:tc>
          <w:tcPr>
            <w:tcW w:w="1264"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tcPr>
          <w:p w14:paraId="6BC85CF8" w14:textId="2E714EFE" w:rsidR="001A2180" w:rsidRPr="001A2180" w:rsidRDefault="001A2180" w:rsidP="001A2180">
            <w:pPr>
              <w:spacing w:line="252" w:lineRule="auto"/>
              <w:ind w:left="44" w:right="60"/>
              <w:contextualSpacing w:val="0"/>
              <w:jc w:val="right"/>
              <w:rPr>
                <w:rFonts w:ascii="Arial" w:eastAsia="Calibri" w:hAnsi="Arial" w:cs="Arial"/>
                <w:sz w:val="20"/>
                <w:szCs w:val="20"/>
              </w:rPr>
            </w:pPr>
            <w:r w:rsidRPr="001A2180">
              <w:rPr>
                <w:rFonts w:ascii="Arial" w:hAnsi="Arial" w:cs="Arial"/>
                <w:sz w:val="20"/>
                <w:szCs w:val="20"/>
              </w:rPr>
              <w:t xml:space="preserve"> $574,628 </w:t>
            </w:r>
          </w:p>
        </w:tc>
        <w:tc>
          <w:tcPr>
            <w:tcW w:w="11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tcPr>
          <w:p w14:paraId="00A391CE" w14:textId="4F783D41"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$578,252 </w:t>
            </w:r>
          </w:p>
        </w:tc>
        <w:tc>
          <w:tcPr>
            <w:tcW w:w="1262" w:type="dxa"/>
            <w:tcBorders>
              <w:top w:val="nil"/>
              <w:left w:val="nil"/>
              <w:bottom w:val="nil"/>
              <w:right w:val="nil"/>
            </w:tcBorders>
            <w:shd w:val="clear" w:color="auto" w:fill="D5DCE4" w:themeFill="text2" w:themeFillTint="33"/>
          </w:tcPr>
          <w:p w14:paraId="1E1D3B1E" w14:textId="35FC27E4"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$3,624 </w:t>
            </w:r>
          </w:p>
        </w:tc>
        <w:tc>
          <w:tcPr>
            <w:tcW w:w="992" w:type="dxa"/>
            <w:tcBorders>
              <w:top w:val="nil"/>
              <w:left w:val="nil"/>
              <w:bottom w:val="nil"/>
              <w:right w:val="nil"/>
            </w:tcBorders>
            <w:shd w:val="clear" w:color="auto" w:fill="D5DCE4" w:themeFill="text2" w:themeFillTint="33"/>
          </w:tcPr>
          <w:p w14:paraId="6271B8FA" w14:textId="5DAC1A01" w:rsidR="001A2180" w:rsidRPr="001A2180" w:rsidRDefault="001A2180" w:rsidP="001A2180">
            <w:pPr>
              <w:spacing w:line="252" w:lineRule="auto"/>
              <w:ind w:left="72" w:right="144"/>
              <w:contextualSpacing w:val="0"/>
              <w:jc w:val="right"/>
              <w:rPr>
                <w:rFonts w:ascii="Arial" w:eastAsia="Calibri" w:hAnsi="Arial" w:cs="Arial"/>
                <w:sz w:val="20"/>
                <w:szCs w:val="20"/>
              </w:rPr>
            </w:pPr>
            <w:r w:rsidRPr="001A2180">
              <w:rPr>
                <w:rFonts w:ascii="Arial" w:hAnsi="Arial" w:cs="Arial"/>
                <w:sz w:val="20"/>
                <w:szCs w:val="20"/>
              </w:rPr>
              <w:t>0.6%</w:t>
            </w:r>
          </w:p>
        </w:tc>
      </w:tr>
      <w:tr w:rsidR="001A2180" w:rsidRPr="00DE1D23" w14:paraId="5EC97A6C" w14:textId="77777777" w:rsidTr="00E975FC">
        <w:trPr>
          <w:trHeight w:val="288"/>
        </w:trPr>
        <w:tc>
          <w:tcPr>
            <w:tcW w:w="1783" w:type="dxa"/>
            <w:tcBorders>
              <w:top w:val="single" w:sz="4" w:space="0" w:color="auto"/>
              <w:left w:val="nil"/>
              <w:bottom w:val="nil"/>
              <w:right w:val="nil"/>
            </w:tcBorders>
            <w:tcMar>
              <w:top w:w="0" w:type="dxa"/>
              <w:left w:w="108" w:type="dxa"/>
              <w:bottom w:w="0" w:type="dxa"/>
              <w:right w:w="108" w:type="dxa"/>
            </w:tcMar>
            <w:vAlign w:val="center"/>
          </w:tcPr>
          <w:p w14:paraId="7E2DA8FD" w14:textId="77777777" w:rsidR="001A2180" w:rsidRPr="00DE1D23" w:rsidRDefault="001A2180" w:rsidP="001A2180">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SE WI Area Avg</w:t>
            </w:r>
          </w:p>
        </w:tc>
        <w:tc>
          <w:tcPr>
            <w:tcW w:w="1264" w:type="dxa"/>
            <w:tcBorders>
              <w:top w:val="single" w:sz="4" w:space="0" w:color="auto"/>
              <w:left w:val="nil"/>
              <w:bottom w:val="nil"/>
              <w:right w:val="nil"/>
            </w:tcBorders>
            <w:tcMar>
              <w:top w:w="0" w:type="dxa"/>
              <w:left w:w="108" w:type="dxa"/>
              <w:bottom w:w="0" w:type="dxa"/>
              <w:right w:w="108" w:type="dxa"/>
            </w:tcMar>
          </w:tcPr>
          <w:p w14:paraId="38B90080" w14:textId="5A7C6E58" w:rsidR="001A2180" w:rsidRPr="001A2180" w:rsidRDefault="001A2180" w:rsidP="001A2180">
            <w:pPr>
              <w:spacing w:line="252" w:lineRule="auto"/>
              <w:ind w:left="44" w:right="60"/>
              <w:contextualSpacing w:val="0"/>
              <w:jc w:val="right"/>
              <w:rPr>
                <w:rFonts w:ascii="Arial" w:eastAsia="Calibri" w:hAnsi="Arial" w:cs="Arial"/>
                <w:sz w:val="20"/>
                <w:szCs w:val="20"/>
              </w:rPr>
            </w:pPr>
            <w:r w:rsidRPr="001A2180">
              <w:rPr>
                <w:rFonts w:ascii="Arial" w:hAnsi="Arial" w:cs="Arial"/>
                <w:sz w:val="20"/>
                <w:szCs w:val="20"/>
              </w:rPr>
              <w:t xml:space="preserve"> $485,655 </w:t>
            </w:r>
          </w:p>
        </w:tc>
        <w:tc>
          <w:tcPr>
            <w:tcW w:w="1183" w:type="dxa"/>
            <w:tcBorders>
              <w:top w:val="single" w:sz="4" w:space="0" w:color="auto"/>
              <w:left w:val="nil"/>
              <w:bottom w:val="nil"/>
              <w:right w:val="nil"/>
            </w:tcBorders>
            <w:tcMar>
              <w:top w:w="0" w:type="dxa"/>
              <w:left w:w="108" w:type="dxa"/>
              <w:bottom w:w="0" w:type="dxa"/>
              <w:right w:w="108" w:type="dxa"/>
            </w:tcMar>
          </w:tcPr>
          <w:p w14:paraId="2C54FB74" w14:textId="79EEB6A8" w:rsidR="001A2180" w:rsidRPr="001A2180" w:rsidRDefault="001A2180" w:rsidP="001A2180">
            <w:pPr>
              <w:spacing w:line="252" w:lineRule="auto"/>
              <w:ind w:left="-3"/>
              <w:contextualSpacing w:val="0"/>
              <w:jc w:val="right"/>
              <w:rPr>
                <w:rFonts w:ascii="Arial" w:eastAsia="Calibri" w:hAnsi="Arial" w:cs="Arial"/>
                <w:sz w:val="20"/>
                <w:szCs w:val="20"/>
              </w:rPr>
            </w:pPr>
            <w:r w:rsidRPr="001A2180">
              <w:rPr>
                <w:rFonts w:ascii="Arial" w:hAnsi="Arial" w:cs="Arial"/>
                <w:sz w:val="20"/>
                <w:szCs w:val="20"/>
              </w:rPr>
              <w:t xml:space="preserve"> $514,867 </w:t>
            </w:r>
          </w:p>
        </w:tc>
        <w:tc>
          <w:tcPr>
            <w:tcW w:w="1262" w:type="dxa"/>
            <w:tcBorders>
              <w:top w:val="nil"/>
              <w:left w:val="nil"/>
              <w:bottom w:val="nil"/>
              <w:right w:val="nil"/>
            </w:tcBorders>
          </w:tcPr>
          <w:p w14:paraId="533F5985" w14:textId="1A08CB43" w:rsidR="001A2180" w:rsidRPr="001A2180" w:rsidRDefault="001A2180" w:rsidP="001A2180">
            <w:pPr>
              <w:spacing w:line="252" w:lineRule="auto"/>
              <w:ind w:left="184" w:right="185"/>
              <w:contextualSpacing w:val="0"/>
              <w:jc w:val="right"/>
              <w:rPr>
                <w:rFonts w:ascii="Arial" w:eastAsia="Calibri" w:hAnsi="Arial" w:cs="Arial"/>
                <w:sz w:val="20"/>
                <w:szCs w:val="20"/>
              </w:rPr>
            </w:pPr>
            <w:r w:rsidRPr="001A2180">
              <w:rPr>
                <w:rFonts w:ascii="Arial" w:hAnsi="Arial" w:cs="Arial"/>
                <w:sz w:val="20"/>
                <w:szCs w:val="20"/>
              </w:rPr>
              <w:t xml:space="preserve"> $29,212 </w:t>
            </w:r>
          </w:p>
        </w:tc>
        <w:tc>
          <w:tcPr>
            <w:tcW w:w="992" w:type="dxa"/>
            <w:tcBorders>
              <w:top w:val="nil"/>
              <w:left w:val="nil"/>
              <w:bottom w:val="nil"/>
              <w:right w:val="nil"/>
            </w:tcBorders>
          </w:tcPr>
          <w:p w14:paraId="405A2EFD" w14:textId="5FE35242" w:rsidR="001A2180" w:rsidRPr="001A2180" w:rsidRDefault="001A2180" w:rsidP="001A2180">
            <w:pPr>
              <w:spacing w:line="252" w:lineRule="auto"/>
              <w:ind w:left="72" w:right="144"/>
              <w:contextualSpacing w:val="0"/>
              <w:jc w:val="right"/>
              <w:rPr>
                <w:rFonts w:ascii="Arial" w:eastAsia="Calibri" w:hAnsi="Arial" w:cs="Arial"/>
                <w:sz w:val="20"/>
                <w:szCs w:val="20"/>
              </w:rPr>
            </w:pPr>
            <w:r w:rsidRPr="001A2180">
              <w:rPr>
                <w:rFonts w:ascii="Arial" w:hAnsi="Arial" w:cs="Arial"/>
                <w:sz w:val="20"/>
                <w:szCs w:val="20"/>
              </w:rPr>
              <w:t>6.0%</w:t>
            </w:r>
          </w:p>
        </w:tc>
      </w:tr>
    </w:tbl>
    <w:p w14:paraId="06F36CE1" w14:textId="77777777" w:rsidR="00874408" w:rsidRDefault="00001ECE" w:rsidP="00001ECE">
      <w:r>
        <w:t xml:space="preserve">The only effective way to ease current market conditions is to increase housing supply. </w:t>
      </w:r>
    </w:p>
    <w:p w14:paraId="1DCF84BE" w14:textId="77777777" w:rsidR="00874408" w:rsidRDefault="00874408" w:rsidP="00001ECE"/>
    <w:p w14:paraId="44CDEF02" w14:textId="43A4A15F" w:rsidR="00001ECE" w:rsidRDefault="00001ECE" w:rsidP="00001ECE">
      <w:r>
        <w:t>Additional supply would help slow the pace of price increases, though it would not cause prices to decline.</w:t>
      </w:r>
    </w:p>
    <w:p w14:paraId="6D1D7F62" w14:textId="77777777" w:rsidR="00001ECE" w:rsidRDefault="00001ECE" w:rsidP="00001ECE"/>
    <w:p w14:paraId="2B56FD50" w14:textId="3A409B13" w:rsidR="00001ECE" w:rsidRDefault="00001ECE" w:rsidP="00001ECE">
      <w:r>
        <w:t xml:space="preserve">The market needs </w:t>
      </w:r>
      <w:r w:rsidR="00A40AFF">
        <w:t>about 8</w:t>
      </w:r>
      <w:r w:rsidR="00F3700A">
        <w:t>,000</w:t>
      </w:r>
      <w:r>
        <w:t xml:space="preserve"> units to meet current demand and allow price growth to moderate. However, in </w:t>
      </w:r>
      <w:r w:rsidR="00A94BCD">
        <w:t>June</w:t>
      </w:r>
      <w:r>
        <w:t xml:space="preserve"> there were only </w:t>
      </w:r>
      <w:r w:rsidR="00F3700A">
        <w:t>4</w:t>
      </w:r>
      <w:r>
        <w:t>,</w:t>
      </w:r>
      <w:r w:rsidR="00D04759">
        <w:t>864</w:t>
      </w:r>
      <w:r>
        <w:t xml:space="preserve"> new listings, highlighting the depth of the supply shortage.</w:t>
      </w:r>
    </w:p>
    <w:p w14:paraId="4340BAE2" w14:textId="081B0E5C" w:rsidR="00001ECE" w:rsidRDefault="00001ECE" w:rsidP="00001ECE">
      <w:r>
        <w:lastRenderedPageBreak/>
        <w:t xml:space="preserve">On the demand side, the market is influenced by generational pressures. Millennial and Gen Z </w:t>
      </w:r>
      <w:r w:rsidR="003E2937">
        <w:t>second</w:t>
      </w:r>
      <w:r>
        <w:t>-time buyers are competing directly with Baby Boomer empty nesters, all seeking housing at the same time.</w:t>
      </w:r>
    </w:p>
    <w:p w14:paraId="5079BF21" w14:textId="77777777" w:rsidR="00001ECE" w:rsidRDefault="00001ECE" w:rsidP="00001ECE"/>
    <w:p w14:paraId="254E3B42" w14:textId="4C4D3D2D" w:rsidR="00001ECE" w:rsidRDefault="00001ECE" w:rsidP="00001ECE">
      <w:r>
        <w:t xml:space="preserve">As we have emphasized for </w:t>
      </w:r>
      <w:r w:rsidRPr="00D04759">
        <w:rPr>
          <w:i/>
          <w:iCs/>
          <w:u w:val="single"/>
        </w:rPr>
        <w:t>several years</w:t>
      </w:r>
      <w:r>
        <w:t>, REALTORS® have faced extreme challenges in helping buyers</w:t>
      </w:r>
      <w:r w:rsidR="00874408">
        <w:t xml:space="preserve"> </w:t>
      </w:r>
      <w:r>
        <w:t>secure ownership opportunities such as condominiums and single-family homes.</w:t>
      </w:r>
    </w:p>
    <w:p w14:paraId="26E0D261" w14:textId="77777777" w:rsidR="00001ECE" w:rsidRDefault="00001ECE" w:rsidP="00001ECE"/>
    <w:p w14:paraId="45440D92" w14:textId="77777777" w:rsidR="00001ECE" w:rsidRDefault="00001ECE" w:rsidP="00001ECE">
      <w:r>
        <w:t>There is a significant long-term risk if additional supply is not created, especially in the form of single-family and condominium units. Thousands of potential homeowners will be pushed into rental housing, limiting their ability to save for down payments and forcing them to miss out on building wealth through home equity and the broader benefits of homeownership.</w:t>
      </w:r>
    </w:p>
    <w:p w14:paraId="329FFCD2" w14:textId="77777777" w:rsidR="00001ECE" w:rsidRDefault="00001ECE" w:rsidP="00001ECE"/>
    <w:p w14:paraId="552448E6" w14:textId="5EC97586" w:rsidR="003244DA" w:rsidRDefault="00001ECE" w:rsidP="00001ECE">
      <w:r>
        <w:t>Over time, this will create serious downstream consequences. Families may lack sufficient home equity to help pay for college, invest in home improvements, or cover unexpected emergencies later in life</w:t>
      </w:r>
      <w:r w:rsidR="003244DA">
        <w:t xml:space="preserve">. </w:t>
      </w:r>
    </w:p>
    <w:p w14:paraId="61210D9C" w14:textId="77777777" w:rsidR="00451758" w:rsidRDefault="00451758">
      <w:pPr>
        <w:spacing w:after="160" w:line="259" w:lineRule="auto"/>
        <w:contextualSpacing w:val="0"/>
      </w:pPr>
    </w:p>
    <w:p w14:paraId="6C6A5D4A" w14:textId="77777777" w:rsidR="003244DA" w:rsidRPr="00985B7F" w:rsidRDefault="003244DA" w:rsidP="003244DA">
      <w:pPr>
        <w:pStyle w:val="ParagraphIntro"/>
      </w:pPr>
      <w:r w:rsidRPr="00985B7F">
        <w:t>Where to go</w:t>
      </w:r>
    </w:p>
    <w:p w14:paraId="4789C15D" w14:textId="77777777" w:rsidR="003244DA" w:rsidRPr="00627017" w:rsidRDefault="003244DA" w:rsidP="003244DA">
      <w:r w:rsidRPr="00627017">
        <w:t>Buyers should seek the counsel of a REALTOR</w:t>
      </w:r>
      <w:r w:rsidRPr="00DC07EE">
        <w:rPr>
          <w:vertAlign w:val="superscript"/>
        </w:rPr>
        <w:t>®</w:t>
      </w:r>
      <w:r w:rsidRPr="00627017">
        <w:t xml:space="preserve"> in determining their best housing options, and sellers need a REALTORS</w:t>
      </w:r>
      <w:r w:rsidRPr="00DC07EE">
        <w:rPr>
          <w:vertAlign w:val="superscript"/>
        </w:rPr>
        <w:t>®</w:t>
      </w:r>
      <w:r w:rsidRPr="00627017">
        <w:t xml:space="preserve"> expert advice in making correct marketing decisions </w:t>
      </w:r>
      <w:r>
        <w:t>for</w:t>
      </w:r>
      <w:r w:rsidRPr="00627017">
        <w:t xml:space="preserve"> their home.</w:t>
      </w:r>
    </w:p>
    <w:p w14:paraId="0ACBF2C4" w14:textId="77777777" w:rsidR="003244DA" w:rsidRPr="00627017" w:rsidRDefault="003244DA" w:rsidP="003244DA"/>
    <w:p w14:paraId="4D2D04D8" w14:textId="3BB29545" w:rsidR="003244DA" w:rsidRDefault="003244DA" w:rsidP="003244DA">
      <w:r w:rsidRPr="00627017">
        <w:t>The Greater Milwaukee Association of REALTORS</w:t>
      </w:r>
      <w:r w:rsidRPr="00627017">
        <w:rPr>
          <w:vertAlign w:val="superscript"/>
        </w:rPr>
        <w:t>®</w:t>
      </w:r>
      <w:r w:rsidRPr="00627017">
        <w:t xml:space="preserve"> is a 5,</w:t>
      </w:r>
      <w:r>
        <w:t>5</w:t>
      </w:r>
      <w:r w:rsidRPr="00627017">
        <w:t>00-member strong professional organization dedicated to providing information, services, and products to help REALTORS</w:t>
      </w:r>
      <w:r w:rsidRPr="00627017">
        <w:rPr>
          <w:vertAlign w:val="superscript"/>
        </w:rPr>
        <w:t>®</w:t>
      </w:r>
      <w:r w:rsidRPr="00627017">
        <w:t xml:space="preserve"> help their clients buy and sell real estate. Data for this report was collected by Metro MLS, Inc.</w:t>
      </w:r>
      <w:r w:rsidR="00EC6CB8">
        <w:t>,</w:t>
      </w:r>
      <w:r w:rsidRPr="00627017">
        <w:t xml:space="preserve"> a wholly owned subsidiary of GMAR.</w:t>
      </w:r>
      <w:r>
        <w:t xml:space="preserve"> </w:t>
      </w:r>
    </w:p>
    <w:p w14:paraId="531FC2C9" w14:textId="77777777" w:rsidR="003244DA" w:rsidRPr="00627017" w:rsidRDefault="003244DA" w:rsidP="003244DA"/>
    <w:p w14:paraId="04807D94" w14:textId="77777777" w:rsidR="003244DA" w:rsidRPr="00627017" w:rsidRDefault="003244DA" w:rsidP="003244DA">
      <w:pPr>
        <w:pStyle w:val="Noted"/>
      </w:pPr>
      <w:r w:rsidRPr="00627017">
        <w:t>* Sales and Listing figures differ between the “Monthly Stats” and quarter or year-end numbers, because the collection of Monthly Stats ends on the 10</w:t>
      </w:r>
      <w:r w:rsidRPr="00627017">
        <w:rPr>
          <w:vertAlign w:val="superscript"/>
        </w:rPr>
        <w:t>th</w:t>
      </w:r>
      <w:r w:rsidRPr="00627017">
        <w:t xml:space="preserve"> of each month, </w:t>
      </w:r>
      <w:r w:rsidRPr="00985B7F">
        <w:t>whereas quarters</w:t>
      </w:r>
      <w:r w:rsidRPr="00627017">
        <w:t xml:space="preserve"> are a continuous tally to 12/31. For example, if a sale occurred on </w:t>
      </w:r>
      <w:r>
        <w:t>the</w:t>
      </w:r>
      <w:r w:rsidRPr="00627017">
        <w:t xml:space="preserve"> 29</w:t>
      </w:r>
      <w:r w:rsidRPr="00627017">
        <w:rPr>
          <w:vertAlign w:val="superscript"/>
        </w:rPr>
        <w:t>th</w:t>
      </w:r>
      <w:r>
        <w:t xml:space="preserve"> of the month,</w:t>
      </w:r>
      <w:r w:rsidRPr="00627017">
        <w:t xml:space="preserve"> but an agent does not record the sale until </w:t>
      </w:r>
      <w:r>
        <w:t xml:space="preserve">the </w:t>
      </w:r>
      <w:r w:rsidRPr="00627017">
        <w:t>5</w:t>
      </w:r>
      <w:r w:rsidRPr="00627017">
        <w:rPr>
          <w:vertAlign w:val="superscript"/>
        </w:rPr>
        <w:t>th</w:t>
      </w:r>
      <w:r>
        <w:t xml:space="preserve"> of the next month,</w:t>
      </w:r>
      <w:r w:rsidRPr="00627017">
        <w:t xml:space="preserve"> that sale would not be included in the sales figures</w:t>
      </w:r>
      <w:r>
        <w:t xml:space="preserve"> of the reported month</w:t>
      </w:r>
      <w:r w:rsidRPr="00627017">
        <w:t xml:space="preserve"> (or any subsequent month’s total) but would be added to the quarterly and annual total sales figures. </w:t>
      </w:r>
    </w:p>
    <w:p w14:paraId="505E4119" w14:textId="77777777" w:rsidR="003244DA" w:rsidRPr="00627017" w:rsidRDefault="003244DA" w:rsidP="003244DA">
      <w:pPr>
        <w:rPr>
          <w:sz w:val="20"/>
          <w:szCs w:val="20"/>
        </w:rPr>
      </w:pPr>
    </w:p>
    <w:p w14:paraId="4AF44DF9" w14:textId="77777777" w:rsidR="003244DA" w:rsidRPr="00627017" w:rsidRDefault="003244DA" w:rsidP="003244DA">
      <w:pPr>
        <w:pStyle w:val="Noted"/>
      </w:pPr>
      <w:r w:rsidRPr="00627017">
        <w:t xml:space="preserve">** All references to the “metropolitan” area denotes the </w:t>
      </w:r>
      <w:r>
        <w:t>four</w:t>
      </w:r>
      <w:r w:rsidRPr="00627017">
        <w:t xml:space="preserve"> counties of Milwaukee, Waukesha, Ozaukee, and Washington Counties. The “region” or “Southeast Wisconsin” refers to the </w:t>
      </w:r>
      <w:r>
        <w:t>four</w:t>
      </w:r>
      <w:r w:rsidRPr="00627017">
        <w:t xml:space="preserve"> metropolitan counties (Milwaukee, Waukesha, Ozaukee, and Washington), plus Racine, Kenosha, and Walworth Counties</w:t>
      </w:r>
      <w:r>
        <w:t>, t</w:t>
      </w:r>
      <w:r w:rsidRPr="00627017">
        <w:t>o the south.</w:t>
      </w:r>
    </w:p>
    <w:p w14:paraId="196026E5" w14:textId="77777777" w:rsidR="003244DA" w:rsidRPr="00627017" w:rsidRDefault="003244DA" w:rsidP="003244DA">
      <w:pPr>
        <w:spacing w:before="120" w:after="120"/>
        <w:ind w:left="-360" w:right="-360"/>
        <w:rPr>
          <w:rFonts w:ascii="Arial" w:hAnsi="Arial" w:cs="Arial"/>
          <w:sz w:val="24"/>
          <w:szCs w:val="24"/>
        </w:rPr>
      </w:pPr>
    </w:p>
    <w:p w14:paraId="18C0E614" w14:textId="77777777" w:rsidR="003244DA" w:rsidRPr="00627017" w:rsidRDefault="003244DA" w:rsidP="003244DA">
      <w:pPr>
        <w:spacing w:before="120" w:after="120"/>
        <w:ind w:left="-360" w:right="-360"/>
        <w:jc w:val="center"/>
        <w:rPr>
          <w:rFonts w:ascii="Arial" w:hAnsi="Arial" w:cs="Arial"/>
          <w:sz w:val="28"/>
          <w:szCs w:val="28"/>
        </w:rPr>
      </w:pPr>
      <w:r w:rsidRPr="00627017">
        <w:rPr>
          <w:rFonts w:ascii="Arial" w:hAnsi="Arial" w:cs="Arial"/>
          <w:b/>
          <w:bCs/>
          <w:sz w:val="28"/>
          <w:szCs w:val="28"/>
        </w:rPr>
        <w:t>*     *     *     *     *</w:t>
      </w:r>
    </w:p>
    <w:p w14:paraId="04B449FD" w14:textId="76A7201E" w:rsidR="002920FB" w:rsidRDefault="002920FB">
      <w:pPr>
        <w:spacing w:after="160" w:line="259" w:lineRule="auto"/>
        <w:contextualSpacing w:val="0"/>
        <w:rPr>
          <w:rFonts w:ascii="Arial" w:hAnsi="Arial" w:cs="Arial"/>
          <w:sz w:val="28"/>
          <w:szCs w:val="28"/>
        </w:rPr>
      </w:pPr>
      <w:r>
        <w:rPr>
          <w:rFonts w:ascii="Arial" w:hAnsi="Arial" w:cs="Arial"/>
          <w:sz w:val="28"/>
          <w:szCs w:val="28"/>
        </w:rPr>
        <w:br w:type="page"/>
      </w:r>
    </w:p>
    <w:p w14:paraId="57FA9B6E" w14:textId="22FEF17C" w:rsidR="00722A43" w:rsidRDefault="003E15DD" w:rsidP="007C3470">
      <w:pPr>
        <w:spacing w:before="120" w:after="120" w:line="300" w:lineRule="auto"/>
        <w:ind w:left="-360" w:right="-360"/>
        <w:jc w:val="center"/>
        <w:rPr>
          <w:rFonts w:ascii="Arial" w:hAnsi="Arial" w:cs="Arial"/>
          <w:sz w:val="20"/>
          <w:szCs w:val="20"/>
        </w:rPr>
      </w:pPr>
      <w:r>
        <w:rPr>
          <w:noProof/>
        </w:rPr>
        <w:lastRenderedPageBreak/>
        <w:drawing>
          <wp:inline distT="0" distB="0" distL="0" distR="0" wp14:anchorId="2982F6B8" wp14:editId="203FAE10">
            <wp:extent cx="5645433" cy="3269685"/>
            <wp:effectExtent l="0" t="0" r="0" b="6985"/>
            <wp:docPr id="193758208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0124F7" w14:textId="5F9F06F8" w:rsidR="00FE2AA3" w:rsidRDefault="00752249" w:rsidP="004E6698">
      <w:pPr>
        <w:spacing w:after="120" w:line="300" w:lineRule="auto"/>
      </w:pPr>
      <w:r w:rsidRPr="00E65D35">
        <w:t xml:space="preserve">Seasonally </w:t>
      </w:r>
      <w:r w:rsidR="0060287B" w:rsidRPr="00E65D35">
        <w:t xml:space="preserve">adjusted </w:t>
      </w:r>
      <w:r w:rsidR="0060287B" w:rsidRPr="00330618">
        <w:t>i</w:t>
      </w:r>
      <w:r w:rsidR="0060287B" w:rsidRPr="00330618">
        <w:rPr>
          <w:rStyle w:val="NormalCalloutText"/>
          <w:b w:val="0"/>
          <w:bCs w:val="0"/>
        </w:rPr>
        <w:t>nventory</w:t>
      </w:r>
      <w:r w:rsidR="0060287B" w:rsidRPr="00E65D35">
        <w:t xml:space="preserve"> tells us how many months it would take to sell the existing</w:t>
      </w:r>
      <w:r w:rsidR="0060287B" w:rsidRPr="00D010BD">
        <w:t xml:space="preserve"> homes on the market</w:t>
      </w:r>
      <w:r w:rsidR="00F67F9D" w:rsidRPr="00D010BD">
        <w:t>.</w:t>
      </w:r>
      <w:r w:rsidR="00435320" w:rsidRPr="00D010BD">
        <w:t xml:space="preserve"> </w:t>
      </w:r>
      <w:r w:rsidR="0060287B" w:rsidRPr="00D010BD">
        <w:t xml:space="preserve">The seasonally adjusted </w:t>
      </w:r>
      <w:r w:rsidR="0060287B" w:rsidRPr="00F84C72">
        <w:rPr>
          <w:rStyle w:val="NormalCalloutText"/>
        </w:rPr>
        <w:t xml:space="preserve">inventory level for </w:t>
      </w:r>
      <w:r w:rsidR="00A94BCD">
        <w:rPr>
          <w:rStyle w:val="NormalCalloutText"/>
        </w:rPr>
        <w:t>June</w:t>
      </w:r>
      <w:r w:rsidR="0060287B" w:rsidRPr="00F84C72">
        <w:rPr>
          <w:rStyle w:val="NormalCalloutText"/>
        </w:rPr>
        <w:t xml:space="preserve"> was </w:t>
      </w:r>
      <w:r w:rsidR="003E15DD">
        <w:rPr>
          <w:rStyle w:val="NormalCalloutText"/>
        </w:rPr>
        <w:t>3</w:t>
      </w:r>
      <w:r w:rsidR="002920FB">
        <w:rPr>
          <w:rStyle w:val="NormalCalloutText"/>
        </w:rPr>
        <w:t>.</w:t>
      </w:r>
      <w:r w:rsidR="003E15DD">
        <w:rPr>
          <w:rStyle w:val="NormalCalloutText"/>
        </w:rPr>
        <w:t>4</w:t>
      </w:r>
      <w:r w:rsidR="0060287B" w:rsidRPr="00F84C72">
        <w:rPr>
          <w:rStyle w:val="NormalCalloutText"/>
        </w:rPr>
        <w:t xml:space="preserve"> month</w:t>
      </w:r>
      <w:r w:rsidR="00BD2F20">
        <w:rPr>
          <w:rStyle w:val="NormalCalloutText"/>
        </w:rPr>
        <w:t>s</w:t>
      </w:r>
      <w:r w:rsidR="0080655E" w:rsidRPr="00F84C72">
        <w:rPr>
          <w:rStyle w:val="NormalCalloutText"/>
        </w:rPr>
        <w:t>.</w:t>
      </w:r>
      <w:r w:rsidR="004E6698">
        <w:rPr>
          <w:rStyle w:val="NormalCalloutText"/>
          <w:b w:val="0"/>
          <w:bCs w:val="0"/>
        </w:rPr>
        <w:t xml:space="preserve"> S</w:t>
      </w:r>
      <w:r w:rsidR="00FE2AA3" w:rsidRPr="00D010BD">
        <w:t>ubtract</w:t>
      </w:r>
      <w:r w:rsidR="00395028">
        <w:t>ing</w:t>
      </w:r>
      <w:r w:rsidR="00FE2AA3" w:rsidRPr="00D010BD">
        <w:t xml:space="preserve"> listings that have an “active offer” from those available for sale (about 80% of listings with an offer </w:t>
      </w:r>
      <w:r w:rsidR="004E6698">
        <w:t>sell</w:t>
      </w:r>
      <w:r w:rsidR="00FE2AA3" w:rsidRPr="00D010BD">
        <w:t>)</w:t>
      </w:r>
      <w:r w:rsidR="007562FC">
        <w:t xml:space="preserve"> </w:t>
      </w:r>
      <w:r w:rsidR="00FE2AA3" w:rsidRPr="00D010BD">
        <w:t xml:space="preserve">yields </w:t>
      </w:r>
      <w:r w:rsidR="009445DA">
        <w:rPr>
          <w:b/>
          <w:bCs/>
          <w:color w:val="203058"/>
        </w:rPr>
        <w:t>3</w:t>
      </w:r>
      <w:r w:rsidR="00160B50">
        <w:rPr>
          <w:b/>
          <w:bCs/>
          <w:color w:val="203058"/>
        </w:rPr>
        <w:t>,</w:t>
      </w:r>
      <w:r w:rsidR="0065136D">
        <w:rPr>
          <w:b/>
          <w:bCs/>
          <w:color w:val="203058"/>
        </w:rPr>
        <w:t>858</w:t>
      </w:r>
      <w:r w:rsidR="00FE2AA3" w:rsidRPr="00F84C72">
        <w:rPr>
          <w:rStyle w:val="NormalCalloutText"/>
        </w:rPr>
        <w:t xml:space="preserve"> listings, which equals </w:t>
      </w:r>
      <w:r w:rsidR="00082AAF">
        <w:rPr>
          <w:rStyle w:val="NormalCalloutText"/>
        </w:rPr>
        <w:t>1</w:t>
      </w:r>
      <w:r w:rsidR="00E31F8C">
        <w:rPr>
          <w:rStyle w:val="NormalCalloutText"/>
        </w:rPr>
        <w:t>.</w:t>
      </w:r>
      <w:r w:rsidR="003E15DD">
        <w:rPr>
          <w:rStyle w:val="NormalCalloutText"/>
        </w:rPr>
        <w:t>6</w:t>
      </w:r>
      <w:r w:rsidR="00FE2AA3" w:rsidRPr="00F84C72">
        <w:rPr>
          <w:rStyle w:val="NormalCalloutText"/>
        </w:rPr>
        <w:t xml:space="preserve"> month</w:t>
      </w:r>
      <w:r w:rsidR="00C960B7">
        <w:rPr>
          <w:rStyle w:val="NormalCalloutText"/>
        </w:rPr>
        <w:t>s</w:t>
      </w:r>
      <w:r w:rsidR="00FE2AA3" w:rsidRPr="00F84C72">
        <w:rPr>
          <w:rStyle w:val="NormalCalloutText"/>
        </w:rPr>
        <w:t xml:space="preserve"> of inventory.</w:t>
      </w:r>
      <w:r w:rsidR="00E31F8C">
        <w:rPr>
          <w:rStyle w:val="NormalCalloutText"/>
        </w:rPr>
        <w:t xml:space="preserve"> </w:t>
      </w:r>
    </w:p>
    <w:p w14:paraId="1A667C1A" w14:textId="77777777" w:rsidR="009E2F8C" w:rsidRDefault="009E2F8C" w:rsidP="00716F12">
      <w:pPr>
        <w:spacing w:before="120" w:after="120"/>
        <w:jc w:val="center"/>
      </w:pPr>
    </w:p>
    <w:p w14:paraId="11FBE3A8" w14:textId="77777777" w:rsidR="0065136D" w:rsidRDefault="0065136D" w:rsidP="00716F12">
      <w:pPr>
        <w:spacing w:before="120" w:after="120"/>
        <w:jc w:val="center"/>
      </w:pPr>
    </w:p>
    <w:p w14:paraId="53C91D88" w14:textId="254A69CF" w:rsidR="00FE2AA3" w:rsidRDefault="0065136D" w:rsidP="00BB3FAF">
      <w:pPr>
        <w:spacing w:before="120" w:after="120"/>
        <w:jc w:val="center"/>
      </w:pPr>
      <w:r>
        <w:rPr>
          <w:noProof/>
        </w:rPr>
        <w:drawing>
          <wp:inline distT="0" distB="0" distL="0" distR="0" wp14:anchorId="32C9F641" wp14:editId="08F8DD1B">
            <wp:extent cx="5569796" cy="3040098"/>
            <wp:effectExtent l="0" t="0" r="0" b="8255"/>
            <wp:docPr id="143237719" name="Chart 1">
              <a:extLst xmlns:a="http://schemas.openxmlformats.org/drawingml/2006/main">
                <a:ext uri="{FF2B5EF4-FFF2-40B4-BE49-F238E27FC236}">
                  <a16:creationId xmlns:a16="http://schemas.microsoft.com/office/drawing/2014/main" id="{4220DDEC-9644-40DF-9232-FA955E14F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09699B" w14:textId="77777777" w:rsidR="0087289E" w:rsidRDefault="0087289E" w:rsidP="00716F12">
      <w:pPr>
        <w:spacing w:before="120" w:after="120" w:line="300" w:lineRule="auto"/>
      </w:pPr>
    </w:p>
    <w:p w14:paraId="386B214D" w14:textId="4D8E2AF1" w:rsidR="00F84C72" w:rsidRPr="0087289E" w:rsidRDefault="004E6698" w:rsidP="00716F12">
      <w:pPr>
        <w:spacing w:before="120" w:after="120" w:line="300" w:lineRule="auto"/>
        <w:rPr>
          <w:rFonts w:ascii="Arial" w:hAnsi="Arial" w:cs="Arial"/>
          <w:sz w:val="20"/>
          <w:szCs w:val="20"/>
        </w:rPr>
      </w:pPr>
      <w:r w:rsidRPr="00E65D35">
        <w:t xml:space="preserve">With </w:t>
      </w:r>
      <w:r w:rsidR="009445DA">
        <w:t>4</w:t>
      </w:r>
      <w:r w:rsidR="00C960B7">
        <w:t>,</w:t>
      </w:r>
      <w:r w:rsidR="0065136D">
        <w:t>864</w:t>
      </w:r>
      <w:r w:rsidRPr="00E65D35">
        <w:t xml:space="preserve"> current listings providing </w:t>
      </w:r>
      <w:r w:rsidR="0065136D">
        <w:t>3</w:t>
      </w:r>
      <w:r w:rsidR="00330618">
        <w:t>.</w:t>
      </w:r>
      <w:r w:rsidR="0065136D">
        <w:t>4</w:t>
      </w:r>
      <w:r w:rsidRPr="00E65D35">
        <w:t xml:space="preserve"> months of inventory, </w:t>
      </w:r>
      <w:r w:rsidRPr="00E65D35">
        <w:rPr>
          <w:rStyle w:val="NormalCalloutText"/>
        </w:rPr>
        <w:t>the market would need an</w:t>
      </w:r>
      <w:r w:rsidRPr="00F84C72">
        <w:rPr>
          <w:rStyle w:val="NormalCalloutText"/>
        </w:rPr>
        <w:t xml:space="preserve"> additional </w:t>
      </w:r>
      <w:r w:rsidR="0065136D">
        <w:rPr>
          <w:rStyle w:val="NormalCalloutText"/>
        </w:rPr>
        <w:t>3</w:t>
      </w:r>
      <w:r w:rsidRPr="00F84C72">
        <w:rPr>
          <w:rStyle w:val="NormalCalloutText"/>
        </w:rPr>
        <w:t>,</w:t>
      </w:r>
      <w:r w:rsidR="0065136D">
        <w:rPr>
          <w:rStyle w:val="NormalCalloutText"/>
        </w:rPr>
        <w:t>770</w:t>
      </w:r>
      <w:r w:rsidRPr="00F84C72">
        <w:rPr>
          <w:rStyle w:val="NormalCalloutText"/>
        </w:rPr>
        <w:t xml:space="preserve"> units to push inventory to </w:t>
      </w:r>
      <w:r w:rsidR="006B0D8F">
        <w:rPr>
          <w:rStyle w:val="NormalCalloutText"/>
        </w:rPr>
        <w:t>six</w:t>
      </w:r>
      <w:r w:rsidRPr="00F84C72">
        <w:rPr>
          <w:rStyle w:val="NormalCalloutText"/>
        </w:rPr>
        <w:t xml:space="preserve"> months.</w:t>
      </w:r>
      <w:r w:rsidRPr="00722A43">
        <w:rPr>
          <w:rFonts w:ascii="Arial" w:hAnsi="Arial" w:cs="Arial"/>
          <w:sz w:val="20"/>
          <w:szCs w:val="20"/>
        </w:rPr>
        <w:t xml:space="preserve"> </w:t>
      </w:r>
      <w:r w:rsidR="00890BA1" w:rsidRPr="0087289E">
        <w:rPr>
          <w:rStyle w:val="NormalCalloutText"/>
          <w:b w:val="0"/>
          <w:bCs w:val="0"/>
          <w:color w:val="auto"/>
        </w:rPr>
        <w:t>Six</w:t>
      </w:r>
      <w:r w:rsidR="00F67F9D" w:rsidRPr="0087289E">
        <w:rPr>
          <w:rStyle w:val="NormalCalloutText"/>
          <w:b w:val="0"/>
          <w:bCs w:val="0"/>
          <w:color w:val="auto"/>
        </w:rPr>
        <w:t xml:space="preserve"> months of inventory is considered a “balanced” market.</w:t>
      </w:r>
      <w:r w:rsidR="00F67F9D" w:rsidRPr="0087289E">
        <w:t xml:space="preserve"> If inventory falls below six months, the market favors sellers, and when inventory exceeds six months, it is a buyer’s market</w:t>
      </w:r>
      <w:r w:rsidR="00EC22D0" w:rsidRPr="0087289E">
        <w:t>.</w:t>
      </w:r>
      <w:r w:rsidR="00FC6C1A" w:rsidRPr="0087289E">
        <w:t xml:space="preserve"> </w:t>
      </w:r>
      <w:bookmarkEnd w:id="0"/>
    </w:p>
    <w:p w14:paraId="6CBF03B4" w14:textId="18F53068" w:rsidR="002920FB" w:rsidRDefault="002920FB">
      <w:pPr>
        <w:spacing w:after="160" w:line="259" w:lineRule="auto"/>
        <w:contextualSpacing w:val="0"/>
        <w:rPr>
          <w:rFonts w:ascii="Arial" w:hAnsi="Arial" w:cs="Arial"/>
          <w:sz w:val="20"/>
          <w:szCs w:val="20"/>
        </w:rPr>
      </w:pPr>
      <w:r>
        <w:rPr>
          <w:rFonts w:ascii="Arial" w:hAnsi="Arial" w:cs="Arial"/>
          <w:sz w:val="20"/>
          <w:szCs w:val="20"/>
        </w:rPr>
        <w:br w:type="page"/>
      </w:r>
    </w:p>
    <w:p w14:paraId="50B00382" w14:textId="512978C1" w:rsidR="00B92DC4" w:rsidRDefault="00842FA4" w:rsidP="00B92DC4">
      <w:pPr>
        <w:spacing w:after="160" w:line="259" w:lineRule="auto"/>
        <w:contextualSpacing w:val="0"/>
        <w:jc w:val="center"/>
        <w:rPr>
          <w:rFonts w:ascii="Arial" w:hAnsi="Arial" w:cs="Arial"/>
          <w:sz w:val="20"/>
          <w:szCs w:val="20"/>
        </w:rPr>
      </w:pPr>
      <w:r>
        <w:rPr>
          <w:noProof/>
        </w:rPr>
        <w:lastRenderedPageBreak/>
        <w:drawing>
          <wp:inline distT="0" distB="0" distL="0" distR="0" wp14:anchorId="3F0A68F8" wp14:editId="20FF06F5">
            <wp:extent cx="5943600" cy="3656330"/>
            <wp:effectExtent l="0" t="0" r="0" b="1270"/>
            <wp:docPr id="1968557048" name="Chart 1">
              <a:extLst xmlns:a="http://schemas.openxmlformats.org/drawingml/2006/main">
                <a:ext uri="{FF2B5EF4-FFF2-40B4-BE49-F238E27FC236}">
                  <a16:creationId xmlns:a16="http://schemas.microsoft.com/office/drawing/2014/main" id="{67ADDBEC-E08F-4681-91E5-2EA9C1AC0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CA5F2B" w14:textId="77777777" w:rsidR="00842FA4" w:rsidRDefault="00842FA4" w:rsidP="00B92DC4">
      <w:pPr>
        <w:spacing w:after="160" w:line="259" w:lineRule="auto"/>
        <w:contextualSpacing w:val="0"/>
        <w:jc w:val="center"/>
        <w:rPr>
          <w:rFonts w:ascii="Arial" w:hAnsi="Arial" w:cs="Arial"/>
          <w:sz w:val="20"/>
          <w:szCs w:val="20"/>
        </w:rPr>
      </w:pPr>
    </w:p>
    <w:p w14:paraId="36791AF9" w14:textId="7C1E4A48" w:rsidR="00E802E8" w:rsidRDefault="00842FA4" w:rsidP="000008FC">
      <w:pPr>
        <w:spacing w:after="160" w:line="259" w:lineRule="auto"/>
        <w:contextualSpacing w:val="0"/>
        <w:jc w:val="center"/>
        <w:rPr>
          <w:rFonts w:ascii="Arial" w:hAnsi="Arial" w:cs="Arial"/>
          <w:sz w:val="20"/>
          <w:szCs w:val="20"/>
        </w:rPr>
      </w:pPr>
      <w:r>
        <w:rPr>
          <w:noProof/>
        </w:rPr>
        <w:drawing>
          <wp:inline distT="0" distB="0" distL="0" distR="0" wp14:anchorId="31149DD3" wp14:editId="2D036770">
            <wp:extent cx="5943600" cy="3654425"/>
            <wp:effectExtent l="0" t="0" r="0" b="3175"/>
            <wp:docPr id="526811265" name="Chart 1">
              <a:extLst xmlns:a="http://schemas.openxmlformats.org/drawingml/2006/main">
                <a:ext uri="{FF2B5EF4-FFF2-40B4-BE49-F238E27FC236}">
                  <a16:creationId xmlns:a16="http://schemas.microsoft.com/office/drawing/2014/main" id="{818699B4-E153-44A6-9798-DBFF7F51D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802E8">
        <w:rPr>
          <w:rFonts w:ascii="Arial" w:hAnsi="Arial" w:cs="Arial"/>
          <w:sz w:val="20"/>
          <w:szCs w:val="20"/>
        </w:rPr>
        <w:br w:type="page"/>
      </w:r>
    </w:p>
    <w:p w14:paraId="2C9D7F78" w14:textId="40AEF68C" w:rsidR="004F2090" w:rsidRDefault="00842FA4">
      <w:pPr>
        <w:spacing w:after="160" w:line="259" w:lineRule="auto"/>
        <w:contextualSpacing w:val="0"/>
        <w:rPr>
          <w:rFonts w:ascii="Arial" w:hAnsi="Arial" w:cs="Arial"/>
          <w:sz w:val="20"/>
          <w:szCs w:val="20"/>
        </w:rPr>
      </w:pPr>
      <w:r>
        <w:rPr>
          <w:noProof/>
        </w:rPr>
        <w:lastRenderedPageBreak/>
        <w:drawing>
          <wp:inline distT="0" distB="0" distL="0" distR="0" wp14:anchorId="133521FE" wp14:editId="7DCA026A">
            <wp:extent cx="5943600" cy="3656965"/>
            <wp:effectExtent l="0" t="0" r="0" b="635"/>
            <wp:docPr id="68283580" name="Chart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45A4BB" w14:textId="03CF1749" w:rsidR="000008FC" w:rsidRDefault="000008FC">
      <w:pPr>
        <w:spacing w:after="160" w:line="259" w:lineRule="auto"/>
        <w:contextualSpacing w:val="0"/>
        <w:rPr>
          <w:rFonts w:ascii="Arial" w:hAnsi="Arial" w:cs="Arial"/>
          <w:sz w:val="20"/>
          <w:szCs w:val="20"/>
        </w:rPr>
      </w:pPr>
      <w:r>
        <w:rPr>
          <w:rFonts w:ascii="Arial" w:hAnsi="Arial" w:cs="Arial"/>
          <w:sz w:val="20"/>
          <w:szCs w:val="20"/>
        </w:rPr>
        <w:br w:type="page"/>
      </w:r>
    </w:p>
    <w:p w14:paraId="3ABD0118" w14:textId="01755FAB" w:rsidR="000008FC" w:rsidRDefault="000008FC">
      <w:pPr>
        <w:spacing w:after="160" w:line="259" w:lineRule="auto"/>
        <w:contextualSpacing w:val="0"/>
        <w:rPr>
          <w:rFonts w:ascii="Arial" w:hAnsi="Arial" w:cs="Arial"/>
          <w:sz w:val="20"/>
          <w:szCs w:val="20"/>
        </w:rPr>
      </w:pPr>
    </w:p>
    <w:p w14:paraId="3B6DDD64" w14:textId="1126593C" w:rsidR="000008FC" w:rsidRDefault="00842FA4">
      <w:pPr>
        <w:spacing w:after="160" w:line="259" w:lineRule="auto"/>
        <w:contextualSpacing w:val="0"/>
        <w:rPr>
          <w:rFonts w:ascii="Arial" w:hAnsi="Arial" w:cs="Arial"/>
          <w:sz w:val="20"/>
          <w:szCs w:val="20"/>
        </w:rPr>
      </w:pPr>
      <w:r>
        <w:rPr>
          <w:noProof/>
        </w:rPr>
        <w:drawing>
          <wp:inline distT="0" distB="0" distL="0" distR="0" wp14:anchorId="073A1689" wp14:editId="20603A47">
            <wp:extent cx="5943600" cy="3656965"/>
            <wp:effectExtent l="0" t="0" r="0" b="635"/>
            <wp:docPr id="676525290" name="Chart 1">
              <a:extLst xmlns:a="http://schemas.openxmlformats.org/drawingml/2006/main">
                <a:ext uri="{FF2B5EF4-FFF2-40B4-BE49-F238E27FC236}">
                  <a16:creationId xmlns:a16="http://schemas.microsoft.com/office/drawing/2014/main" id="{ED00AABD-524B-4CC0-988B-6ADB6246EE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A40918" w14:textId="77777777" w:rsidR="00842FA4" w:rsidRDefault="00842FA4">
      <w:pPr>
        <w:spacing w:after="160" w:line="259" w:lineRule="auto"/>
        <w:contextualSpacing w:val="0"/>
        <w:rPr>
          <w:rFonts w:ascii="Arial" w:hAnsi="Arial" w:cs="Arial"/>
          <w:sz w:val="20"/>
          <w:szCs w:val="20"/>
        </w:rPr>
      </w:pPr>
    </w:p>
    <w:p w14:paraId="5476793D" w14:textId="70C904FF" w:rsidR="00842FA4" w:rsidRDefault="00842FA4">
      <w:pPr>
        <w:spacing w:after="160" w:line="259" w:lineRule="auto"/>
        <w:contextualSpacing w:val="0"/>
        <w:rPr>
          <w:rFonts w:ascii="Arial" w:hAnsi="Arial" w:cs="Arial"/>
          <w:sz w:val="20"/>
          <w:szCs w:val="20"/>
        </w:rPr>
      </w:pPr>
      <w:r>
        <w:rPr>
          <w:noProof/>
        </w:rPr>
        <w:drawing>
          <wp:inline distT="0" distB="0" distL="0" distR="0" wp14:anchorId="6AD19269" wp14:editId="62E3E5E1">
            <wp:extent cx="5943600" cy="3655695"/>
            <wp:effectExtent l="0" t="0" r="0" b="1905"/>
            <wp:docPr id="768576007" name="Chart 1">
              <a:extLst xmlns:a="http://schemas.openxmlformats.org/drawingml/2006/main">
                <a:ext uri="{FF2B5EF4-FFF2-40B4-BE49-F238E27FC236}">
                  <a16:creationId xmlns:a16="http://schemas.microsoft.com/office/drawing/2014/main" id="{84030F05-71F8-4E97-BB95-0A11628BD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EB871B" w14:textId="77777777" w:rsidR="000008FC" w:rsidRDefault="000008FC">
      <w:pPr>
        <w:spacing w:after="160" w:line="259" w:lineRule="auto"/>
        <w:contextualSpacing w:val="0"/>
        <w:rPr>
          <w:rFonts w:ascii="Arial" w:hAnsi="Arial" w:cs="Arial"/>
          <w:sz w:val="20"/>
          <w:szCs w:val="20"/>
        </w:rPr>
      </w:pPr>
      <w:r>
        <w:rPr>
          <w:rFonts w:ascii="Arial" w:hAnsi="Arial" w:cs="Arial"/>
          <w:sz w:val="20"/>
          <w:szCs w:val="20"/>
        </w:rPr>
        <w:br w:type="page"/>
      </w:r>
    </w:p>
    <w:p w14:paraId="25ECA4D7" w14:textId="213B282F" w:rsidR="000008FC" w:rsidRDefault="00842FA4" w:rsidP="00F3700A">
      <w:pPr>
        <w:pStyle w:val="Heading1"/>
        <w:rPr>
          <w:rFonts w:ascii="Arial" w:hAnsi="Arial" w:cs="Arial"/>
          <w:sz w:val="20"/>
          <w:szCs w:val="20"/>
        </w:rPr>
      </w:pPr>
      <w:r>
        <w:rPr>
          <w:noProof/>
        </w:rPr>
        <w:lastRenderedPageBreak/>
        <w:drawing>
          <wp:inline distT="0" distB="0" distL="0" distR="0" wp14:anchorId="758160B2" wp14:editId="7F6793C2">
            <wp:extent cx="5942330" cy="3658870"/>
            <wp:effectExtent l="0" t="0" r="1270" b="17780"/>
            <wp:docPr id="535212995" name="Chart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0DC229" w14:textId="77777777" w:rsidR="000008FC" w:rsidRDefault="000008FC">
      <w:pPr>
        <w:spacing w:after="160" w:line="259" w:lineRule="auto"/>
        <w:contextualSpacing w:val="0"/>
        <w:rPr>
          <w:rFonts w:ascii="Arial" w:hAnsi="Arial" w:cs="Arial"/>
          <w:sz w:val="20"/>
          <w:szCs w:val="20"/>
        </w:rPr>
      </w:pPr>
    </w:p>
    <w:p w14:paraId="1D6F4749" w14:textId="03F1D7E8" w:rsidR="00D848BE" w:rsidRPr="00082AAF" w:rsidRDefault="00D848BE">
      <w:pPr>
        <w:spacing w:after="160" w:line="259" w:lineRule="auto"/>
        <w:contextualSpacing w:val="0"/>
        <w:rPr>
          <w:rFonts w:ascii="Arial" w:hAnsi="Arial" w:cs="Arial"/>
          <w:sz w:val="20"/>
          <w:szCs w:val="20"/>
        </w:rPr>
      </w:pPr>
    </w:p>
    <w:sectPr w:rsidR="00D848BE" w:rsidRPr="00082AAF" w:rsidSect="00451758">
      <w:headerReference w:type="even" r:id="rId18"/>
      <w:headerReference w:type="default" r:id="rId19"/>
      <w:footerReference w:type="even" r:id="rId20"/>
      <w:footerReference w:type="default" r:id="rId21"/>
      <w:headerReference w:type="first" r:id="rId22"/>
      <w:footerReference w:type="first" r:id="rId23"/>
      <w:pgSz w:w="12240" w:h="15840"/>
      <w:pgMar w:top="907" w:right="1440" w:bottom="108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702F" w14:textId="77777777" w:rsidR="00F5074D" w:rsidRDefault="00F5074D" w:rsidP="003B327A">
      <w:r>
        <w:separator/>
      </w:r>
    </w:p>
  </w:endnote>
  <w:endnote w:type="continuationSeparator" w:id="0">
    <w:p w14:paraId="0C3C8891" w14:textId="77777777" w:rsidR="00F5074D" w:rsidRDefault="00F5074D" w:rsidP="003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00129"/>
      <w:docPartObj>
        <w:docPartGallery w:val="Page Numbers (Bottom of Page)"/>
        <w:docPartUnique/>
      </w:docPartObj>
    </w:sdtPr>
    <w:sdtEndPr>
      <w:rPr>
        <w:rStyle w:val="PageNumber"/>
      </w:rPr>
    </w:sdtEndPr>
    <w:sdtContent>
      <w:p w14:paraId="1FE5BE95" w14:textId="156FFAE5" w:rsidR="00D4300F" w:rsidRDefault="00D430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8403830"/>
      <w:docPartObj>
        <w:docPartGallery w:val="Page Numbers (Bottom of Page)"/>
        <w:docPartUnique/>
      </w:docPartObj>
    </w:sdtPr>
    <w:sdtEndPr>
      <w:rPr>
        <w:rStyle w:val="PageNumber"/>
      </w:rPr>
    </w:sdtEndPr>
    <w:sdtContent>
      <w:p w14:paraId="2349D0BD" w14:textId="78AE5157" w:rsidR="0010266B" w:rsidRDefault="0010266B" w:rsidP="00D4300F">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28B85" w14:textId="77777777" w:rsidR="0010266B" w:rsidRDefault="00102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b/>
        <w:bCs/>
        <w:sz w:val="16"/>
        <w:szCs w:val="16"/>
      </w:rPr>
      <w:id w:val="1011573456"/>
      <w:docPartObj>
        <w:docPartGallery w:val="Page Numbers (Bottom of Page)"/>
        <w:docPartUnique/>
      </w:docPartObj>
    </w:sdtPr>
    <w:sdtEndPr>
      <w:rPr>
        <w:rStyle w:val="PageNumber"/>
      </w:rPr>
    </w:sdtEndPr>
    <w:sdtContent>
      <w:p w14:paraId="64CFEC4F" w14:textId="43E8E004" w:rsidR="0010266B" w:rsidRPr="0010266B" w:rsidRDefault="0010266B" w:rsidP="00D4300F">
        <w:pPr>
          <w:pStyle w:val="Footer"/>
          <w:framePr w:wrap="none" w:vAnchor="text" w:hAnchor="margin" w:y="1"/>
          <w:rPr>
            <w:rStyle w:val="PageNumber"/>
            <w:rFonts w:ascii="Century Gothic" w:hAnsi="Century Gothic"/>
            <w:b/>
            <w:bCs/>
            <w:sz w:val="16"/>
            <w:szCs w:val="16"/>
          </w:rPr>
        </w:pPr>
        <w:r w:rsidRPr="0010266B">
          <w:rPr>
            <w:rStyle w:val="PageNumber"/>
            <w:rFonts w:ascii="Century Gothic" w:hAnsi="Century Gothic"/>
            <w:b/>
            <w:bCs/>
            <w:sz w:val="16"/>
            <w:szCs w:val="16"/>
          </w:rPr>
          <w:fldChar w:fldCharType="begin"/>
        </w:r>
        <w:r w:rsidRPr="0010266B">
          <w:rPr>
            <w:rStyle w:val="PageNumber"/>
            <w:rFonts w:ascii="Century Gothic" w:hAnsi="Century Gothic"/>
            <w:b/>
            <w:bCs/>
            <w:sz w:val="16"/>
            <w:szCs w:val="16"/>
          </w:rPr>
          <w:instrText xml:space="preserve"> PAGE </w:instrText>
        </w:r>
        <w:r w:rsidRPr="0010266B">
          <w:rPr>
            <w:rStyle w:val="PageNumber"/>
            <w:rFonts w:ascii="Century Gothic" w:hAnsi="Century Gothic"/>
            <w:b/>
            <w:bCs/>
            <w:sz w:val="16"/>
            <w:szCs w:val="16"/>
          </w:rPr>
          <w:fldChar w:fldCharType="separate"/>
        </w:r>
        <w:r w:rsidRPr="0010266B">
          <w:rPr>
            <w:rStyle w:val="PageNumber"/>
            <w:rFonts w:ascii="Century Gothic" w:hAnsi="Century Gothic"/>
            <w:b/>
            <w:bCs/>
            <w:noProof/>
            <w:sz w:val="16"/>
            <w:szCs w:val="16"/>
          </w:rPr>
          <w:t>2</w:t>
        </w:r>
        <w:r w:rsidRPr="0010266B">
          <w:rPr>
            <w:rStyle w:val="PageNumber"/>
            <w:rFonts w:ascii="Century Gothic" w:hAnsi="Century Gothic"/>
            <w:b/>
            <w:bCs/>
            <w:sz w:val="16"/>
            <w:szCs w:val="16"/>
          </w:rPr>
          <w:fldChar w:fldCharType="end"/>
        </w:r>
      </w:p>
    </w:sdtContent>
  </w:sdt>
  <w:p w14:paraId="0CE9DD8E" w14:textId="175DC8B5" w:rsidR="00086B75" w:rsidRDefault="0010266B" w:rsidP="00D4300F">
    <w:pPr>
      <w:pStyle w:val="Footer"/>
      <w:ind w:firstLine="360"/>
    </w:pPr>
    <w:r>
      <w:rPr>
        <w:noProof/>
      </w:rPr>
      <w:drawing>
        <wp:anchor distT="0" distB="0" distL="114300" distR="114300" simplePos="0" relativeHeight="251661312" behindDoc="1" locked="0" layoutInCell="1" allowOverlap="1" wp14:anchorId="03E99469" wp14:editId="2DE1E781">
          <wp:simplePos x="0" y="0"/>
          <wp:positionH relativeFrom="column">
            <wp:posOffset>4919345</wp:posOffset>
          </wp:positionH>
          <wp:positionV relativeFrom="paragraph">
            <wp:posOffset>-386080</wp:posOffset>
          </wp:positionV>
          <wp:extent cx="2057399" cy="714375"/>
          <wp:effectExtent l="0" t="0" r="635" b="0"/>
          <wp:wrapNone/>
          <wp:docPr id="19" name="Picture 1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399" cy="7143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AE1E" w14:textId="750CCCF4" w:rsidR="00DF7795" w:rsidRDefault="00DF7795">
    <w:pPr>
      <w:pStyle w:val="Footer"/>
    </w:pPr>
    <w:r>
      <w:rPr>
        <w:noProof/>
      </w:rPr>
      <w:drawing>
        <wp:anchor distT="0" distB="0" distL="114300" distR="114300" simplePos="0" relativeHeight="251657216" behindDoc="1" locked="0" layoutInCell="1" allowOverlap="1" wp14:anchorId="071F9804" wp14:editId="4F7160C1">
          <wp:simplePos x="0" y="0"/>
          <wp:positionH relativeFrom="margin">
            <wp:posOffset>-908050</wp:posOffset>
          </wp:positionH>
          <wp:positionV relativeFrom="paragraph">
            <wp:posOffset>248920</wp:posOffset>
          </wp:positionV>
          <wp:extent cx="7772400" cy="1826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28CA" w14:textId="77777777" w:rsidR="00F5074D" w:rsidRDefault="00F5074D" w:rsidP="003B327A">
      <w:r>
        <w:separator/>
      </w:r>
    </w:p>
  </w:footnote>
  <w:footnote w:type="continuationSeparator" w:id="0">
    <w:p w14:paraId="675923EB" w14:textId="77777777" w:rsidR="00F5074D" w:rsidRDefault="00F5074D" w:rsidP="003B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305925"/>
      <w:docPartObj>
        <w:docPartGallery w:val="Page Numbers (Top of Page)"/>
        <w:docPartUnique/>
      </w:docPartObj>
    </w:sdtPr>
    <w:sdtEndPr>
      <w:rPr>
        <w:rStyle w:val="PageNumber"/>
      </w:rPr>
    </w:sdtEndPr>
    <w:sdtContent>
      <w:p w14:paraId="5549F23B" w14:textId="67499029" w:rsidR="0010266B" w:rsidRDefault="0010266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422D">
          <w:rPr>
            <w:rStyle w:val="PageNumber"/>
            <w:noProof/>
          </w:rPr>
          <w:t>1</w:t>
        </w:r>
        <w:r>
          <w:rPr>
            <w:rStyle w:val="PageNumber"/>
          </w:rPr>
          <w:fldChar w:fldCharType="end"/>
        </w:r>
      </w:p>
    </w:sdtContent>
  </w:sdt>
  <w:p w14:paraId="7FBF11B6" w14:textId="77777777" w:rsidR="0010266B" w:rsidRDefault="00102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4D31" w14:textId="62F61BF2" w:rsidR="0010266B" w:rsidRDefault="0010266B">
    <w:pPr>
      <w:pStyle w:val="Header"/>
    </w:pPr>
    <w:r>
      <w:rPr>
        <w:noProof/>
      </w:rPr>
      <w:drawing>
        <wp:anchor distT="0" distB="0" distL="114300" distR="114300" simplePos="0" relativeHeight="251659264" behindDoc="1" locked="0" layoutInCell="1" allowOverlap="1" wp14:anchorId="169AFC6A" wp14:editId="62514721">
          <wp:simplePos x="0" y="0"/>
          <wp:positionH relativeFrom="column">
            <wp:posOffset>-901700</wp:posOffset>
          </wp:positionH>
          <wp:positionV relativeFrom="paragraph">
            <wp:posOffset>12700</wp:posOffset>
          </wp:positionV>
          <wp:extent cx="7772400" cy="18268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D34" w14:textId="6749F43D" w:rsidR="0087201F" w:rsidRPr="00DF7795" w:rsidRDefault="00DF7795" w:rsidP="00DF7795">
    <w:pPr>
      <w:pStyle w:val="Header"/>
    </w:pPr>
    <w:r>
      <w:rPr>
        <w:noProof/>
      </w:rPr>
      <w:drawing>
        <wp:anchor distT="0" distB="0" distL="114300" distR="114300" simplePos="0" relativeHeight="251655168" behindDoc="1" locked="0" layoutInCell="1" allowOverlap="1" wp14:anchorId="1B2BA8F8" wp14:editId="512F3E5A">
          <wp:simplePos x="0" y="0"/>
          <wp:positionH relativeFrom="margin">
            <wp:posOffset>-914400</wp:posOffset>
          </wp:positionH>
          <wp:positionV relativeFrom="paragraph">
            <wp:posOffset>0</wp:posOffset>
          </wp:positionV>
          <wp:extent cx="7772400" cy="1434905"/>
          <wp:effectExtent l="0" t="0" r="0" b="0"/>
          <wp:wrapNone/>
          <wp:docPr id="20" name="Picture 2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low confidence"/>
                  <pic:cNvPicPr/>
                </pic:nvPicPr>
                <pic:blipFill>
                  <a:blip r:embed="rId1">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7772400" cy="1434905"/>
                  </a:xfrm>
                  <a:prstGeom prst="rect">
                    <a:avLst/>
                  </a:prstGeom>
                  <a:solidFill>
                    <a:srgbClr val="1F4E79"/>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10FD"/>
    <w:multiLevelType w:val="hybridMultilevel"/>
    <w:tmpl w:val="EB5EFE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312C4E"/>
    <w:multiLevelType w:val="hybridMultilevel"/>
    <w:tmpl w:val="C1EACCC4"/>
    <w:lvl w:ilvl="0" w:tplc="FE3E4B56">
      <w:start w:val="1"/>
      <w:numFmt w:val="decimal"/>
      <w:pStyle w:val="Style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878AF"/>
    <w:multiLevelType w:val="multilevel"/>
    <w:tmpl w:val="921A981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11270BD"/>
    <w:multiLevelType w:val="hybridMultilevel"/>
    <w:tmpl w:val="AB209BB0"/>
    <w:lvl w:ilvl="0" w:tplc="B2D2B390">
      <w:start w:val="1"/>
      <w:numFmt w:val="decimal"/>
      <w:pStyle w:val="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0706DD"/>
    <w:multiLevelType w:val="hybridMultilevel"/>
    <w:tmpl w:val="921A981A"/>
    <w:lvl w:ilvl="0" w:tplc="9E56E20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F0E41"/>
    <w:multiLevelType w:val="hybridMultilevel"/>
    <w:tmpl w:val="EBC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477250">
    <w:abstractNumId w:val="0"/>
  </w:num>
  <w:num w:numId="2" w16cid:durableId="587202810">
    <w:abstractNumId w:val="0"/>
  </w:num>
  <w:num w:numId="3" w16cid:durableId="1839926557">
    <w:abstractNumId w:val="5"/>
  </w:num>
  <w:num w:numId="4" w16cid:durableId="138499193">
    <w:abstractNumId w:val="4"/>
  </w:num>
  <w:num w:numId="5" w16cid:durableId="1157650364">
    <w:abstractNumId w:val="1"/>
  </w:num>
  <w:num w:numId="6" w16cid:durableId="564029695">
    <w:abstractNumId w:val="2"/>
  </w:num>
  <w:num w:numId="7" w16cid:durableId="26904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83"/>
    <w:rsid w:val="000004DC"/>
    <w:rsid w:val="000008FC"/>
    <w:rsid w:val="00001ECE"/>
    <w:rsid w:val="00002A09"/>
    <w:rsid w:val="000032B0"/>
    <w:rsid w:val="0000535B"/>
    <w:rsid w:val="00010A1A"/>
    <w:rsid w:val="00013AC8"/>
    <w:rsid w:val="0001575D"/>
    <w:rsid w:val="000158C6"/>
    <w:rsid w:val="00015D53"/>
    <w:rsid w:val="00017D91"/>
    <w:rsid w:val="000231FD"/>
    <w:rsid w:val="00025E65"/>
    <w:rsid w:val="00026FC5"/>
    <w:rsid w:val="00027002"/>
    <w:rsid w:val="00027936"/>
    <w:rsid w:val="000359A8"/>
    <w:rsid w:val="000418A7"/>
    <w:rsid w:val="00041F41"/>
    <w:rsid w:val="00043760"/>
    <w:rsid w:val="00045DDB"/>
    <w:rsid w:val="000478F6"/>
    <w:rsid w:val="00050D04"/>
    <w:rsid w:val="00050EC7"/>
    <w:rsid w:val="00057F91"/>
    <w:rsid w:val="000643AB"/>
    <w:rsid w:val="000666AB"/>
    <w:rsid w:val="000711F9"/>
    <w:rsid w:val="00074D33"/>
    <w:rsid w:val="00075CB8"/>
    <w:rsid w:val="00080E07"/>
    <w:rsid w:val="0008180B"/>
    <w:rsid w:val="00081B02"/>
    <w:rsid w:val="00082AAF"/>
    <w:rsid w:val="000834B8"/>
    <w:rsid w:val="00083B67"/>
    <w:rsid w:val="00084A59"/>
    <w:rsid w:val="00085C75"/>
    <w:rsid w:val="00086B75"/>
    <w:rsid w:val="000871EE"/>
    <w:rsid w:val="00087232"/>
    <w:rsid w:val="00092126"/>
    <w:rsid w:val="000927A7"/>
    <w:rsid w:val="0009739A"/>
    <w:rsid w:val="000A01E3"/>
    <w:rsid w:val="000A2CE6"/>
    <w:rsid w:val="000A3217"/>
    <w:rsid w:val="000A4141"/>
    <w:rsid w:val="000A54B9"/>
    <w:rsid w:val="000A7132"/>
    <w:rsid w:val="000A7A27"/>
    <w:rsid w:val="000B471A"/>
    <w:rsid w:val="000B7E8B"/>
    <w:rsid w:val="000C0358"/>
    <w:rsid w:val="000C5D86"/>
    <w:rsid w:val="000D0E85"/>
    <w:rsid w:val="000D4375"/>
    <w:rsid w:val="000E0548"/>
    <w:rsid w:val="000E14E4"/>
    <w:rsid w:val="000E4CD9"/>
    <w:rsid w:val="000E646C"/>
    <w:rsid w:val="000E6502"/>
    <w:rsid w:val="000F21F9"/>
    <w:rsid w:val="0010266B"/>
    <w:rsid w:val="00105A82"/>
    <w:rsid w:val="00107E28"/>
    <w:rsid w:val="001104B3"/>
    <w:rsid w:val="001111CB"/>
    <w:rsid w:val="00112D8F"/>
    <w:rsid w:val="001225DE"/>
    <w:rsid w:val="00122DEE"/>
    <w:rsid w:val="00123E7A"/>
    <w:rsid w:val="00124A77"/>
    <w:rsid w:val="00125C6C"/>
    <w:rsid w:val="00127EF0"/>
    <w:rsid w:val="001312C0"/>
    <w:rsid w:val="00132D71"/>
    <w:rsid w:val="00133D00"/>
    <w:rsid w:val="00137528"/>
    <w:rsid w:val="001379FD"/>
    <w:rsid w:val="00144B86"/>
    <w:rsid w:val="00146897"/>
    <w:rsid w:val="00151841"/>
    <w:rsid w:val="001530AA"/>
    <w:rsid w:val="00153E0D"/>
    <w:rsid w:val="00156337"/>
    <w:rsid w:val="00157115"/>
    <w:rsid w:val="001572B6"/>
    <w:rsid w:val="00160B50"/>
    <w:rsid w:val="0016242D"/>
    <w:rsid w:val="00162A57"/>
    <w:rsid w:val="00166452"/>
    <w:rsid w:val="00167120"/>
    <w:rsid w:val="001710C0"/>
    <w:rsid w:val="00172794"/>
    <w:rsid w:val="00172E7E"/>
    <w:rsid w:val="00176044"/>
    <w:rsid w:val="00176BAD"/>
    <w:rsid w:val="00177CCC"/>
    <w:rsid w:val="001813B3"/>
    <w:rsid w:val="00183378"/>
    <w:rsid w:val="00183446"/>
    <w:rsid w:val="00183C62"/>
    <w:rsid w:val="001865ED"/>
    <w:rsid w:val="00190964"/>
    <w:rsid w:val="001928B3"/>
    <w:rsid w:val="00192A0B"/>
    <w:rsid w:val="001A060A"/>
    <w:rsid w:val="001A2180"/>
    <w:rsid w:val="001A5F8A"/>
    <w:rsid w:val="001B41B1"/>
    <w:rsid w:val="001B4CFE"/>
    <w:rsid w:val="001B610A"/>
    <w:rsid w:val="001C2406"/>
    <w:rsid w:val="001C2B1D"/>
    <w:rsid w:val="001C3C25"/>
    <w:rsid w:val="001C3CE4"/>
    <w:rsid w:val="001C62A3"/>
    <w:rsid w:val="001D27D9"/>
    <w:rsid w:val="001D3B48"/>
    <w:rsid w:val="001D7B23"/>
    <w:rsid w:val="001E02BA"/>
    <w:rsid w:val="001E101E"/>
    <w:rsid w:val="001F0911"/>
    <w:rsid w:val="001F1FB1"/>
    <w:rsid w:val="001F245E"/>
    <w:rsid w:val="001F5CBD"/>
    <w:rsid w:val="001F7017"/>
    <w:rsid w:val="00205183"/>
    <w:rsid w:val="0020568A"/>
    <w:rsid w:val="00207323"/>
    <w:rsid w:val="002114BD"/>
    <w:rsid w:val="00211BC4"/>
    <w:rsid w:val="00214D42"/>
    <w:rsid w:val="002156E5"/>
    <w:rsid w:val="00215C52"/>
    <w:rsid w:val="002228CD"/>
    <w:rsid w:val="00225E0C"/>
    <w:rsid w:val="00226695"/>
    <w:rsid w:val="002268AB"/>
    <w:rsid w:val="002274F3"/>
    <w:rsid w:val="002311B5"/>
    <w:rsid w:val="00232416"/>
    <w:rsid w:val="0023346D"/>
    <w:rsid w:val="002369FD"/>
    <w:rsid w:val="00241968"/>
    <w:rsid w:val="00244D23"/>
    <w:rsid w:val="0025010A"/>
    <w:rsid w:val="00254EA2"/>
    <w:rsid w:val="00254F9F"/>
    <w:rsid w:val="00257E75"/>
    <w:rsid w:val="00260189"/>
    <w:rsid w:val="00261855"/>
    <w:rsid w:val="0026256A"/>
    <w:rsid w:val="00270176"/>
    <w:rsid w:val="00270753"/>
    <w:rsid w:val="00276DCA"/>
    <w:rsid w:val="00277C91"/>
    <w:rsid w:val="00277DD7"/>
    <w:rsid w:val="00284B0C"/>
    <w:rsid w:val="00284EF5"/>
    <w:rsid w:val="002853E5"/>
    <w:rsid w:val="002864B3"/>
    <w:rsid w:val="002920FB"/>
    <w:rsid w:val="0029714D"/>
    <w:rsid w:val="002A14D2"/>
    <w:rsid w:val="002A41E2"/>
    <w:rsid w:val="002A5E81"/>
    <w:rsid w:val="002A6B1C"/>
    <w:rsid w:val="002A78ED"/>
    <w:rsid w:val="002B1788"/>
    <w:rsid w:val="002B5840"/>
    <w:rsid w:val="002C0AE4"/>
    <w:rsid w:val="002C12CA"/>
    <w:rsid w:val="002C412A"/>
    <w:rsid w:val="002C52EF"/>
    <w:rsid w:val="002C639C"/>
    <w:rsid w:val="002D0230"/>
    <w:rsid w:val="002E3801"/>
    <w:rsid w:val="002E391A"/>
    <w:rsid w:val="002E40D8"/>
    <w:rsid w:val="002E74EB"/>
    <w:rsid w:val="002F03D7"/>
    <w:rsid w:val="002F2B80"/>
    <w:rsid w:val="002F59D0"/>
    <w:rsid w:val="003014F6"/>
    <w:rsid w:val="00301B28"/>
    <w:rsid w:val="00306E84"/>
    <w:rsid w:val="003079C4"/>
    <w:rsid w:val="00310100"/>
    <w:rsid w:val="003105DB"/>
    <w:rsid w:val="00310CFF"/>
    <w:rsid w:val="003118B9"/>
    <w:rsid w:val="003119B1"/>
    <w:rsid w:val="00314345"/>
    <w:rsid w:val="0031482E"/>
    <w:rsid w:val="0031621B"/>
    <w:rsid w:val="003171BE"/>
    <w:rsid w:val="003176C9"/>
    <w:rsid w:val="00323325"/>
    <w:rsid w:val="003244DA"/>
    <w:rsid w:val="00325528"/>
    <w:rsid w:val="00326B56"/>
    <w:rsid w:val="0033059A"/>
    <w:rsid w:val="00330618"/>
    <w:rsid w:val="00331633"/>
    <w:rsid w:val="0033168B"/>
    <w:rsid w:val="003343A9"/>
    <w:rsid w:val="00334E67"/>
    <w:rsid w:val="00347CC9"/>
    <w:rsid w:val="00350097"/>
    <w:rsid w:val="00350E1C"/>
    <w:rsid w:val="00352251"/>
    <w:rsid w:val="00353589"/>
    <w:rsid w:val="00353725"/>
    <w:rsid w:val="00354473"/>
    <w:rsid w:val="00355EE1"/>
    <w:rsid w:val="003639E9"/>
    <w:rsid w:val="00365D98"/>
    <w:rsid w:val="003724B8"/>
    <w:rsid w:val="00373C96"/>
    <w:rsid w:val="00376BA5"/>
    <w:rsid w:val="00377E8C"/>
    <w:rsid w:val="00377E9E"/>
    <w:rsid w:val="00380FF7"/>
    <w:rsid w:val="0038324D"/>
    <w:rsid w:val="00383620"/>
    <w:rsid w:val="003878AF"/>
    <w:rsid w:val="00393E99"/>
    <w:rsid w:val="00395028"/>
    <w:rsid w:val="0039613C"/>
    <w:rsid w:val="003A6347"/>
    <w:rsid w:val="003B1886"/>
    <w:rsid w:val="003B3214"/>
    <w:rsid w:val="003B327A"/>
    <w:rsid w:val="003C282B"/>
    <w:rsid w:val="003C3E5E"/>
    <w:rsid w:val="003C5FD7"/>
    <w:rsid w:val="003E15DD"/>
    <w:rsid w:val="003E2937"/>
    <w:rsid w:val="003E46BA"/>
    <w:rsid w:val="003F0A1B"/>
    <w:rsid w:val="003F403D"/>
    <w:rsid w:val="003F59E1"/>
    <w:rsid w:val="003F62F0"/>
    <w:rsid w:val="0040188A"/>
    <w:rsid w:val="00401E93"/>
    <w:rsid w:val="00402253"/>
    <w:rsid w:val="00402A91"/>
    <w:rsid w:val="004036BD"/>
    <w:rsid w:val="00407D21"/>
    <w:rsid w:val="00416329"/>
    <w:rsid w:val="00416DF0"/>
    <w:rsid w:val="004204E0"/>
    <w:rsid w:val="004217B7"/>
    <w:rsid w:val="00424608"/>
    <w:rsid w:val="00430E07"/>
    <w:rsid w:val="0043444E"/>
    <w:rsid w:val="00434612"/>
    <w:rsid w:val="00435320"/>
    <w:rsid w:val="00436BD9"/>
    <w:rsid w:val="00437958"/>
    <w:rsid w:val="00437E34"/>
    <w:rsid w:val="0044014E"/>
    <w:rsid w:val="00440264"/>
    <w:rsid w:val="004433DB"/>
    <w:rsid w:val="00445F1E"/>
    <w:rsid w:val="00450916"/>
    <w:rsid w:val="00451758"/>
    <w:rsid w:val="00460083"/>
    <w:rsid w:val="00460A09"/>
    <w:rsid w:val="004616F1"/>
    <w:rsid w:val="0046205A"/>
    <w:rsid w:val="004635F0"/>
    <w:rsid w:val="00465A20"/>
    <w:rsid w:val="00465F52"/>
    <w:rsid w:val="00470AB1"/>
    <w:rsid w:val="0047433E"/>
    <w:rsid w:val="00474ECB"/>
    <w:rsid w:val="00476AA0"/>
    <w:rsid w:val="00481980"/>
    <w:rsid w:val="00482F01"/>
    <w:rsid w:val="0048406D"/>
    <w:rsid w:val="0049421B"/>
    <w:rsid w:val="004A1A6C"/>
    <w:rsid w:val="004A40D2"/>
    <w:rsid w:val="004A5A2A"/>
    <w:rsid w:val="004A5FC1"/>
    <w:rsid w:val="004B1439"/>
    <w:rsid w:val="004B1C64"/>
    <w:rsid w:val="004B2A09"/>
    <w:rsid w:val="004B2A93"/>
    <w:rsid w:val="004C7E31"/>
    <w:rsid w:val="004D52E3"/>
    <w:rsid w:val="004E4655"/>
    <w:rsid w:val="004E6698"/>
    <w:rsid w:val="004E6E55"/>
    <w:rsid w:val="004E7EEF"/>
    <w:rsid w:val="004F08C0"/>
    <w:rsid w:val="004F2090"/>
    <w:rsid w:val="004F4D5B"/>
    <w:rsid w:val="00503E46"/>
    <w:rsid w:val="0050657D"/>
    <w:rsid w:val="00510938"/>
    <w:rsid w:val="00513B1A"/>
    <w:rsid w:val="0051489E"/>
    <w:rsid w:val="005160A6"/>
    <w:rsid w:val="005170D2"/>
    <w:rsid w:val="0052049F"/>
    <w:rsid w:val="005215D6"/>
    <w:rsid w:val="00521E94"/>
    <w:rsid w:val="005335BE"/>
    <w:rsid w:val="00534803"/>
    <w:rsid w:val="00534DD3"/>
    <w:rsid w:val="0054105F"/>
    <w:rsid w:val="0054195F"/>
    <w:rsid w:val="00542FF4"/>
    <w:rsid w:val="00545C01"/>
    <w:rsid w:val="005460CE"/>
    <w:rsid w:val="005477F8"/>
    <w:rsid w:val="005478AC"/>
    <w:rsid w:val="005530B6"/>
    <w:rsid w:val="00554F4A"/>
    <w:rsid w:val="005552A3"/>
    <w:rsid w:val="0055631D"/>
    <w:rsid w:val="00556E33"/>
    <w:rsid w:val="005640BF"/>
    <w:rsid w:val="005650BC"/>
    <w:rsid w:val="00567908"/>
    <w:rsid w:val="005734DB"/>
    <w:rsid w:val="0057459F"/>
    <w:rsid w:val="005753FB"/>
    <w:rsid w:val="00577F84"/>
    <w:rsid w:val="00580AAD"/>
    <w:rsid w:val="00585519"/>
    <w:rsid w:val="005912FE"/>
    <w:rsid w:val="00591C7A"/>
    <w:rsid w:val="00593670"/>
    <w:rsid w:val="0059459C"/>
    <w:rsid w:val="0059620F"/>
    <w:rsid w:val="005A167E"/>
    <w:rsid w:val="005B5396"/>
    <w:rsid w:val="005C1A84"/>
    <w:rsid w:val="005C25E4"/>
    <w:rsid w:val="005C3BB5"/>
    <w:rsid w:val="005C4AF7"/>
    <w:rsid w:val="005C581B"/>
    <w:rsid w:val="005C5E3F"/>
    <w:rsid w:val="005C65B2"/>
    <w:rsid w:val="005D0C58"/>
    <w:rsid w:val="005D4112"/>
    <w:rsid w:val="005D6400"/>
    <w:rsid w:val="005E4C81"/>
    <w:rsid w:val="005F3908"/>
    <w:rsid w:val="00602021"/>
    <w:rsid w:val="0060287B"/>
    <w:rsid w:val="00603A94"/>
    <w:rsid w:val="00607B60"/>
    <w:rsid w:val="00612A0E"/>
    <w:rsid w:val="006146B0"/>
    <w:rsid w:val="006200A6"/>
    <w:rsid w:val="00620A04"/>
    <w:rsid w:val="006213F9"/>
    <w:rsid w:val="00623E52"/>
    <w:rsid w:val="006247E9"/>
    <w:rsid w:val="00627017"/>
    <w:rsid w:val="00627F72"/>
    <w:rsid w:val="0063404B"/>
    <w:rsid w:val="00636212"/>
    <w:rsid w:val="0064142B"/>
    <w:rsid w:val="006416AF"/>
    <w:rsid w:val="006459E3"/>
    <w:rsid w:val="00645AD0"/>
    <w:rsid w:val="0065136D"/>
    <w:rsid w:val="0065300F"/>
    <w:rsid w:val="00654B2A"/>
    <w:rsid w:val="00656C73"/>
    <w:rsid w:val="00657358"/>
    <w:rsid w:val="00657D2E"/>
    <w:rsid w:val="00662485"/>
    <w:rsid w:val="006626BD"/>
    <w:rsid w:val="00667F9C"/>
    <w:rsid w:val="0067111B"/>
    <w:rsid w:val="00673F45"/>
    <w:rsid w:val="00681DC8"/>
    <w:rsid w:val="006836E9"/>
    <w:rsid w:val="00690E70"/>
    <w:rsid w:val="00694286"/>
    <w:rsid w:val="00695184"/>
    <w:rsid w:val="00697541"/>
    <w:rsid w:val="006A0D96"/>
    <w:rsid w:val="006A4D33"/>
    <w:rsid w:val="006B0D8F"/>
    <w:rsid w:val="006C0A4A"/>
    <w:rsid w:val="006C630A"/>
    <w:rsid w:val="006D06AC"/>
    <w:rsid w:val="006D13A0"/>
    <w:rsid w:val="006D176A"/>
    <w:rsid w:val="006D195E"/>
    <w:rsid w:val="006D1DE2"/>
    <w:rsid w:val="006D22A4"/>
    <w:rsid w:val="006D2AF9"/>
    <w:rsid w:val="006D3772"/>
    <w:rsid w:val="006D54A8"/>
    <w:rsid w:val="006D6799"/>
    <w:rsid w:val="006E0511"/>
    <w:rsid w:val="006E0DB1"/>
    <w:rsid w:val="006E47E9"/>
    <w:rsid w:val="006E60DF"/>
    <w:rsid w:val="006F7E40"/>
    <w:rsid w:val="00701269"/>
    <w:rsid w:val="00704C25"/>
    <w:rsid w:val="0070562B"/>
    <w:rsid w:val="00716F12"/>
    <w:rsid w:val="0071768A"/>
    <w:rsid w:val="00717D51"/>
    <w:rsid w:val="007214B3"/>
    <w:rsid w:val="00721E48"/>
    <w:rsid w:val="00721F71"/>
    <w:rsid w:val="00722A43"/>
    <w:rsid w:val="0073360C"/>
    <w:rsid w:val="00736B38"/>
    <w:rsid w:val="0073717C"/>
    <w:rsid w:val="00737429"/>
    <w:rsid w:val="0074260B"/>
    <w:rsid w:val="00742C85"/>
    <w:rsid w:val="00745FF8"/>
    <w:rsid w:val="00750CD9"/>
    <w:rsid w:val="00752041"/>
    <w:rsid w:val="00752249"/>
    <w:rsid w:val="00754539"/>
    <w:rsid w:val="00754753"/>
    <w:rsid w:val="00754FD0"/>
    <w:rsid w:val="007562FC"/>
    <w:rsid w:val="00761F56"/>
    <w:rsid w:val="00770D40"/>
    <w:rsid w:val="0077154C"/>
    <w:rsid w:val="0077361B"/>
    <w:rsid w:val="00775F51"/>
    <w:rsid w:val="00777721"/>
    <w:rsid w:val="00780AA1"/>
    <w:rsid w:val="0078467D"/>
    <w:rsid w:val="007848D3"/>
    <w:rsid w:val="00785F83"/>
    <w:rsid w:val="007900CB"/>
    <w:rsid w:val="0079199D"/>
    <w:rsid w:val="007928FE"/>
    <w:rsid w:val="0079305F"/>
    <w:rsid w:val="007A5A12"/>
    <w:rsid w:val="007B1281"/>
    <w:rsid w:val="007B4513"/>
    <w:rsid w:val="007B6D3B"/>
    <w:rsid w:val="007C00E5"/>
    <w:rsid w:val="007C3421"/>
    <w:rsid w:val="007C3470"/>
    <w:rsid w:val="007C3602"/>
    <w:rsid w:val="007C3727"/>
    <w:rsid w:val="007C40CE"/>
    <w:rsid w:val="007C4327"/>
    <w:rsid w:val="007C7D8C"/>
    <w:rsid w:val="007D09D8"/>
    <w:rsid w:val="007D4724"/>
    <w:rsid w:val="007E0B53"/>
    <w:rsid w:val="007E15E0"/>
    <w:rsid w:val="007E44AB"/>
    <w:rsid w:val="007E5323"/>
    <w:rsid w:val="007F6B5D"/>
    <w:rsid w:val="00800766"/>
    <w:rsid w:val="0080131C"/>
    <w:rsid w:val="00801B2E"/>
    <w:rsid w:val="00805843"/>
    <w:rsid w:val="00805CC5"/>
    <w:rsid w:val="0080655E"/>
    <w:rsid w:val="008107AA"/>
    <w:rsid w:val="00813045"/>
    <w:rsid w:val="008130DA"/>
    <w:rsid w:val="00815481"/>
    <w:rsid w:val="00815BC2"/>
    <w:rsid w:val="0081666B"/>
    <w:rsid w:val="00817377"/>
    <w:rsid w:val="008220C9"/>
    <w:rsid w:val="00822622"/>
    <w:rsid w:val="00831E2B"/>
    <w:rsid w:val="00832D28"/>
    <w:rsid w:val="0083681A"/>
    <w:rsid w:val="00842FA4"/>
    <w:rsid w:val="00847102"/>
    <w:rsid w:val="00853C6E"/>
    <w:rsid w:val="00857CA5"/>
    <w:rsid w:val="00867510"/>
    <w:rsid w:val="00871C1A"/>
    <w:rsid w:val="0087201F"/>
    <w:rsid w:val="0087289E"/>
    <w:rsid w:val="00874408"/>
    <w:rsid w:val="00882765"/>
    <w:rsid w:val="00882A53"/>
    <w:rsid w:val="0088300E"/>
    <w:rsid w:val="00886BD5"/>
    <w:rsid w:val="00887388"/>
    <w:rsid w:val="00890BA1"/>
    <w:rsid w:val="00890E1D"/>
    <w:rsid w:val="008922D3"/>
    <w:rsid w:val="00892539"/>
    <w:rsid w:val="0089320B"/>
    <w:rsid w:val="00896C6F"/>
    <w:rsid w:val="008A3DC3"/>
    <w:rsid w:val="008A6E66"/>
    <w:rsid w:val="008B059D"/>
    <w:rsid w:val="008C1EA3"/>
    <w:rsid w:val="008C345B"/>
    <w:rsid w:val="008C6F6A"/>
    <w:rsid w:val="008D024B"/>
    <w:rsid w:val="008D2730"/>
    <w:rsid w:val="008D51A0"/>
    <w:rsid w:val="008D5219"/>
    <w:rsid w:val="008E494E"/>
    <w:rsid w:val="008E64A6"/>
    <w:rsid w:val="008F12C5"/>
    <w:rsid w:val="008F15EA"/>
    <w:rsid w:val="008F46A7"/>
    <w:rsid w:val="008F7E2F"/>
    <w:rsid w:val="00900DBC"/>
    <w:rsid w:val="00912FB8"/>
    <w:rsid w:val="00913F14"/>
    <w:rsid w:val="00915E05"/>
    <w:rsid w:val="0091767C"/>
    <w:rsid w:val="0092034A"/>
    <w:rsid w:val="00921DBE"/>
    <w:rsid w:val="0092306F"/>
    <w:rsid w:val="009256C4"/>
    <w:rsid w:val="009303A0"/>
    <w:rsid w:val="0093743F"/>
    <w:rsid w:val="009375FE"/>
    <w:rsid w:val="009407A1"/>
    <w:rsid w:val="009445DA"/>
    <w:rsid w:val="00945145"/>
    <w:rsid w:val="00945C7F"/>
    <w:rsid w:val="00946D4A"/>
    <w:rsid w:val="00950D76"/>
    <w:rsid w:val="00951888"/>
    <w:rsid w:val="00953B8C"/>
    <w:rsid w:val="00953F34"/>
    <w:rsid w:val="00954C2D"/>
    <w:rsid w:val="00956623"/>
    <w:rsid w:val="00956B75"/>
    <w:rsid w:val="00957AA6"/>
    <w:rsid w:val="00960659"/>
    <w:rsid w:val="00961059"/>
    <w:rsid w:val="00963F94"/>
    <w:rsid w:val="00965378"/>
    <w:rsid w:val="0096573C"/>
    <w:rsid w:val="00966533"/>
    <w:rsid w:val="0096778F"/>
    <w:rsid w:val="0096795D"/>
    <w:rsid w:val="00973EEB"/>
    <w:rsid w:val="009745D6"/>
    <w:rsid w:val="00977AE7"/>
    <w:rsid w:val="009802F1"/>
    <w:rsid w:val="00981675"/>
    <w:rsid w:val="00985B7F"/>
    <w:rsid w:val="00986E1D"/>
    <w:rsid w:val="00992EDE"/>
    <w:rsid w:val="00996601"/>
    <w:rsid w:val="00996A8C"/>
    <w:rsid w:val="00997937"/>
    <w:rsid w:val="009A03F9"/>
    <w:rsid w:val="009A3885"/>
    <w:rsid w:val="009A4FA7"/>
    <w:rsid w:val="009A6291"/>
    <w:rsid w:val="009A6579"/>
    <w:rsid w:val="009A666F"/>
    <w:rsid w:val="009B0737"/>
    <w:rsid w:val="009B0D6E"/>
    <w:rsid w:val="009B1B42"/>
    <w:rsid w:val="009B2887"/>
    <w:rsid w:val="009B6FCA"/>
    <w:rsid w:val="009B7675"/>
    <w:rsid w:val="009C29B1"/>
    <w:rsid w:val="009C6EA8"/>
    <w:rsid w:val="009D180F"/>
    <w:rsid w:val="009D2241"/>
    <w:rsid w:val="009D4F89"/>
    <w:rsid w:val="009D6996"/>
    <w:rsid w:val="009E2F8C"/>
    <w:rsid w:val="009E4BB1"/>
    <w:rsid w:val="009E6AC3"/>
    <w:rsid w:val="009F1F68"/>
    <w:rsid w:val="009F21C4"/>
    <w:rsid w:val="009F23EF"/>
    <w:rsid w:val="009F28D2"/>
    <w:rsid w:val="00A017CA"/>
    <w:rsid w:val="00A10126"/>
    <w:rsid w:val="00A139C9"/>
    <w:rsid w:val="00A1782B"/>
    <w:rsid w:val="00A2068E"/>
    <w:rsid w:val="00A2088C"/>
    <w:rsid w:val="00A2539A"/>
    <w:rsid w:val="00A25A48"/>
    <w:rsid w:val="00A35390"/>
    <w:rsid w:val="00A3559A"/>
    <w:rsid w:val="00A358FD"/>
    <w:rsid w:val="00A35EE2"/>
    <w:rsid w:val="00A364ED"/>
    <w:rsid w:val="00A37F31"/>
    <w:rsid w:val="00A40AFF"/>
    <w:rsid w:val="00A41720"/>
    <w:rsid w:val="00A42571"/>
    <w:rsid w:val="00A45D52"/>
    <w:rsid w:val="00A47356"/>
    <w:rsid w:val="00A4749D"/>
    <w:rsid w:val="00A47E53"/>
    <w:rsid w:val="00A5422D"/>
    <w:rsid w:val="00A554A1"/>
    <w:rsid w:val="00A55625"/>
    <w:rsid w:val="00A608CA"/>
    <w:rsid w:val="00A60995"/>
    <w:rsid w:val="00A648D1"/>
    <w:rsid w:val="00A66F2A"/>
    <w:rsid w:val="00A675BE"/>
    <w:rsid w:val="00A7320C"/>
    <w:rsid w:val="00A750DA"/>
    <w:rsid w:val="00A761D3"/>
    <w:rsid w:val="00A86766"/>
    <w:rsid w:val="00A91006"/>
    <w:rsid w:val="00A92D0C"/>
    <w:rsid w:val="00A94BCD"/>
    <w:rsid w:val="00A96CA0"/>
    <w:rsid w:val="00AA0451"/>
    <w:rsid w:val="00AA16AC"/>
    <w:rsid w:val="00AA29A8"/>
    <w:rsid w:val="00AB0545"/>
    <w:rsid w:val="00AB1D2A"/>
    <w:rsid w:val="00AB30DB"/>
    <w:rsid w:val="00AB4322"/>
    <w:rsid w:val="00AC28D6"/>
    <w:rsid w:val="00AC3065"/>
    <w:rsid w:val="00AC4C87"/>
    <w:rsid w:val="00AC6A57"/>
    <w:rsid w:val="00AD04AA"/>
    <w:rsid w:val="00AD1A34"/>
    <w:rsid w:val="00AD4C46"/>
    <w:rsid w:val="00AD62F0"/>
    <w:rsid w:val="00AD642D"/>
    <w:rsid w:val="00AE1A13"/>
    <w:rsid w:val="00AE298D"/>
    <w:rsid w:val="00AE3BB8"/>
    <w:rsid w:val="00AE3EB4"/>
    <w:rsid w:val="00AE6343"/>
    <w:rsid w:val="00AE6E14"/>
    <w:rsid w:val="00AF276C"/>
    <w:rsid w:val="00AF5A18"/>
    <w:rsid w:val="00AF6456"/>
    <w:rsid w:val="00AF765C"/>
    <w:rsid w:val="00B01F83"/>
    <w:rsid w:val="00B02FC9"/>
    <w:rsid w:val="00B03A0D"/>
    <w:rsid w:val="00B062F3"/>
    <w:rsid w:val="00B151AD"/>
    <w:rsid w:val="00B170CC"/>
    <w:rsid w:val="00B20739"/>
    <w:rsid w:val="00B209A7"/>
    <w:rsid w:val="00B31A16"/>
    <w:rsid w:val="00B330BD"/>
    <w:rsid w:val="00B3472D"/>
    <w:rsid w:val="00B347C2"/>
    <w:rsid w:val="00B40DFC"/>
    <w:rsid w:val="00B441CE"/>
    <w:rsid w:val="00B46E8C"/>
    <w:rsid w:val="00B500F8"/>
    <w:rsid w:val="00B65888"/>
    <w:rsid w:val="00B704CC"/>
    <w:rsid w:val="00B81A3B"/>
    <w:rsid w:val="00B85795"/>
    <w:rsid w:val="00B86C67"/>
    <w:rsid w:val="00B92635"/>
    <w:rsid w:val="00B92DC4"/>
    <w:rsid w:val="00B95302"/>
    <w:rsid w:val="00B97E5A"/>
    <w:rsid w:val="00BA51DE"/>
    <w:rsid w:val="00BA6A26"/>
    <w:rsid w:val="00BA70FF"/>
    <w:rsid w:val="00BA71CB"/>
    <w:rsid w:val="00BB352F"/>
    <w:rsid w:val="00BB3FAF"/>
    <w:rsid w:val="00BB4423"/>
    <w:rsid w:val="00BB55D6"/>
    <w:rsid w:val="00BC0D66"/>
    <w:rsid w:val="00BC1205"/>
    <w:rsid w:val="00BC4153"/>
    <w:rsid w:val="00BD05F0"/>
    <w:rsid w:val="00BD0F21"/>
    <w:rsid w:val="00BD2974"/>
    <w:rsid w:val="00BD2F20"/>
    <w:rsid w:val="00BD363D"/>
    <w:rsid w:val="00BD5FEE"/>
    <w:rsid w:val="00BD6EF6"/>
    <w:rsid w:val="00BD7CFE"/>
    <w:rsid w:val="00BD7E94"/>
    <w:rsid w:val="00BE0E5A"/>
    <w:rsid w:val="00BE4F46"/>
    <w:rsid w:val="00BF05EC"/>
    <w:rsid w:val="00BF0DA5"/>
    <w:rsid w:val="00BF155E"/>
    <w:rsid w:val="00BF2D61"/>
    <w:rsid w:val="00BF3A7C"/>
    <w:rsid w:val="00BF7895"/>
    <w:rsid w:val="00C0002D"/>
    <w:rsid w:val="00C066D8"/>
    <w:rsid w:val="00C075BE"/>
    <w:rsid w:val="00C10518"/>
    <w:rsid w:val="00C105B5"/>
    <w:rsid w:val="00C16329"/>
    <w:rsid w:val="00C16B23"/>
    <w:rsid w:val="00C20390"/>
    <w:rsid w:val="00C20959"/>
    <w:rsid w:val="00C22379"/>
    <w:rsid w:val="00C22763"/>
    <w:rsid w:val="00C234BD"/>
    <w:rsid w:val="00C24714"/>
    <w:rsid w:val="00C334B0"/>
    <w:rsid w:val="00C34FFF"/>
    <w:rsid w:val="00C407A2"/>
    <w:rsid w:val="00C41C9C"/>
    <w:rsid w:val="00C434EA"/>
    <w:rsid w:val="00C46012"/>
    <w:rsid w:val="00C47C42"/>
    <w:rsid w:val="00C547F1"/>
    <w:rsid w:val="00C5567F"/>
    <w:rsid w:val="00C60C7C"/>
    <w:rsid w:val="00C61EBD"/>
    <w:rsid w:val="00C63ADE"/>
    <w:rsid w:val="00C63D82"/>
    <w:rsid w:val="00C73AAD"/>
    <w:rsid w:val="00C746BD"/>
    <w:rsid w:val="00C76AED"/>
    <w:rsid w:val="00C77E4B"/>
    <w:rsid w:val="00C8517F"/>
    <w:rsid w:val="00C919A0"/>
    <w:rsid w:val="00C92D40"/>
    <w:rsid w:val="00C960B7"/>
    <w:rsid w:val="00CA4DB0"/>
    <w:rsid w:val="00CA5627"/>
    <w:rsid w:val="00CB0036"/>
    <w:rsid w:val="00CC1EAA"/>
    <w:rsid w:val="00CC316C"/>
    <w:rsid w:val="00CD08DE"/>
    <w:rsid w:val="00CD19F7"/>
    <w:rsid w:val="00CD4658"/>
    <w:rsid w:val="00CD523F"/>
    <w:rsid w:val="00CD6193"/>
    <w:rsid w:val="00CD7CA8"/>
    <w:rsid w:val="00CD7E58"/>
    <w:rsid w:val="00CE1456"/>
    <w:rsid w:val="00CF118C"/>
    <w:rsid w:val="00CF1195"/>
    <w:rsid w:val="00CF13B7"/>
    <w:rsid w:val="00CF3506"/>
    <w:rsid w:val="00CF712E"/>
    <w:rsid w:val="00D00518"/>
    <w:rsid w:val="00D010BD"/>
    <w:rsid w:val="00D03F2F"/>
    <w:rsid w:val="00D04759"/>
    <w:rsid w:val="00D0513E"/>
    <w:rsid w:val="00D061C3"/>
    <w:rsid w:val="00D07956"/>
    <w:rsid w:val="00D10D0E"/>
    <w:rsid w:val="00D126F1"/>
    <w:rsid w:val="00D128E8"/>
    <w:rsid w:val="00D15637"/>
    <w:rsid w:val="00D1723D"/>
    <w:rsid w:val="00D20441"/>
    <w:rsid w:val="00D215B6"/>
    <w:rsid w:val="00D27B49"/>
    <w:rsid w:val="00D31E52"/>
    <w:rsid w:val="00D33806"/>
    <w:rsid w:val="00D34058"/>
    <w:rsid w:val="00D36A48"/>
    <w:rsid w:val="00D42F01"/>
    <w:rsid w:val="00D4300F"/>
    <w:rsid w:val="00D432FD"/>
    <w:rsid w:val="00D465C9"/>
    <w:rsid w:val="00D46FAC"/>
    <w:rsid w:val="00D510F7"/>
    <w:rsid w:val="00D65ECE"/>
    <w:rsid w:val="00D71B10"/>
    <w:rsid w:val="00D729BF"/>
    <w:rsid w:val="00D747A8"/>
    <w:rsid w:val="00D75691"/>
    <w:rsid w:val="00D7710D"/>
    <w:rsid w:val="00D776E8"/>
    <w:rsid w:val="00D81D49"/>
    <w:rsid w:val="00D82DAA"/>
    <w:rsid w:val="00D83A25"/>
    <w:rsid w:val="00D83E09"/>
    <w:rsid w:val="00D848BE"/>
    <w:rsid w:val="00D87084"/>
    <w:rsid w:val="00D8709F"/>
    <w:rsid w:val="00D9455C"/>
    <w:rsid w:val="00D94E82"/>
    <w:rsid w:val="00DA2234"/>
    <w:rsid w:val="00DA2DEC"/>
    <w:rsid w:val="00DA467F"/>
    <w:rsid w:val="00DB0943"/>
    <w:rsid w:val="00DB1AA5"/>
    <w:rsid w:val="00DB59A4"/>
    <w:rsid w:val="00DB6AD0"/>
    <w:rsid w:val="00DB7C1E"/>
    <w:rsid w:val="00DC07EE"/>
    <w:rsid w:val="00DC1506"/>
    <w:rsid w:val="00DC55EC"/>
    <w:rsid w:val="00DC6504"/>
    <w:rsid w:val="00DC7220"/>
    <w:rsid w:val="00DD184E"/>
    <w:rsid w:val="00DD2BDC"/>
    <w:rsid w:val="00DD731A"/>
    <w:rsid w:val="00DE086A"/>
    <w:rsid w:val="00DE2268"/>
    <w:rsid w:val="00DE4001"/>
    <w:rsid w:val="00DE4409"/>
    <w:rsid w:val="00DE478C"/>
    <w:rsid w:val="00DE4CC9"/>
    <w:rsid w:val="00DE613A"/>
    <w:rsid w:val="00DF411E"/>
    <w:rsid w:val="00DF7795"/>
    <w:rsid w:val="00DF7DFC"/>
    <w:rsid w:val="00E02A9E"/>
    <w:rsid w:val="00E047BD"/>
    <w:rsid w:val="00E077B8"/>
    <w:rsid w:val="00E132E6"/>
    <w:rsid w:val="00E22DD1"/>
    <w:rsid w:val="00E23762"/>
    <w:rsid w:val="00E250AA"/>
    <w:rsid w:val="00E302C4"/>
    <w:rsid w:val="00E318C9"/>
    <w:rsid w:val="00E31F8C"/>
    <w:rsid w:val="00E3381F"/>
    <w:rsid w:val="00E33FB3"/>
    <w:rsid w:val="00E34181"/>
    <w:rsid w:val="00E35013"/>
    <w:rsid w:val="00E35D19"/>
    <w:rsid w:val="00E36750"/>
    <w:rsid w:val="00E37C15"/>
    <w:rsid w:val="00E4060D"/>
    <w:rsid w:val="00E4062C"/>
    <w:rsid w:val="00E40C3D"/>
    <w:rsid w:val="00E44884"/>
    <w:rsid w:val="00E456F1"/>
    <w:rsid w:val="00E46188"/>
    <w:rsid w:val="00E4780C"/>
    <w:rsid w:val="00E51D7E"/>
    <w:rsid w:val="00E53285"/>
    <w:rsid w:val="00E54BEE"/>
    <w:rsid w:val="00E5715D"/>
    <w:rsid w:val="00E5727F"/>
    <w:rsid w:val="00E578C4"/>
    <w:rsid w:val="00E636E6"/>
    <w:rsid w:val="00E6481D"/>
    <w:rsid w:val="00E64AEC"/>
    <w:rsid w:val="00E65D35"/>
    <w:rsid w:val="00E7187F"/>
    <w:rsid w:val="00E72019"/>
    <w:rsid w:val="00E72902"/>
    <w:rsid w:val="00E739D4"/>
    <w:rsid w:val="00E749C3"/>
    <w:rsid w:val="00E7590D"/>
    <w:rsid w:val="00E802E8"/>
    <w:rsid w:val="00E8190F"/>
    <w:rsid w:val="00E8432A"/>
    <w:rsid w:val="00E913B2"/>
    <w:rsid w:val="00EA2981"/>
    <w:rsid w:val="00EA2CD3"/>
    <w:rsid w:val="00EA2F2A"/>
    <w:rsid w:val="00EA5B86"/>
    <w:rsid w:val="00EA763F"/>
    <w:rsid w:val="00EB1B71"/>
    <w:rsid w:val="00EB252D"/>
    <w:rsid w:val="00EB2961"/>
    <w:rsid w:val="00EB2CA3"/>
    <w:rsid w:val="00EB334C"/>
    <w:rsid w:val="00EB4238"/>
    <w:rsid w:val="00EB49AC"/>
    <w:rsid w:val="00EB4B61"/>
    <w:rsid w:val="00EB6DC0"/>
    <w:rsid w:val="00EC22D0"/>
    <w:rsid w:val="00EC23F2"/>
    <w:rsid w:val="00EC2A4F"/>
    <w:rsid w:val="00EC6CB8"/>
    <w:rsid w:val="00EC789A"/>
    <w:rsid w:val="00ED0B05"/>
    <w:rsid w:val="00ED27FC"/>
    <w:rsid w:val="00EE26A4"/>
    <w:rsid w:val="00EE505B"/>
    <w:rsid w:val="00EE6F6F"/>
    <w:rsid w:val="00F00818"/>
    <w:rsid w:val="00F01A99"/>
    <w:rsid w:val="00F024C3"/>
    <w:rsid w:val="00F03600"/>
    <w:rsid w:val="00F06772"/>
    <w:rsid w:val="00F07937"/>
    <w:rsid w:val="00F105E6"/>
    <w:rsid w:val="00F11245"/>
    <w:rsid w:val="00F1131E"/>
    <w:rsid w:val="00F1254A"/>
    <w:rsid w:val="00F13AB3"/>
    <w:rsid w:val="00F2081D"/>
    <w:rsid w:val="00F22843"/>
    <w:rsid w:val="00F264CF"/>
    <w:rsid w:val="00F27208"/>
    <w:rsid w:val="00F34596"/>
    <w:rsid w:val="00F35B69"/>
    <w:rsid w:val="00F35E94"/>
    <w:rsid w:val="00F3700A"/>
    <w:rsid w:val="00F402BD"/>
    <w:rsid w:val="00F40B43"/>
    <w:rsid w:val="00F40BDC"/>
    <w:rsid w:val="00F4138C"/>
    <w:rsid w:val="00F418DC"/>
    <w:rsid w:val="00F41BD7"/>
    <w:rsid w:val="00F41EBA"/>
    <w:rsid w:val="00F43485"/>
    <w:rsid w:val="00F4702E"/>
    <w:rsid w:val="00F47C51"/>
    <w:rsid w:val="00F5074D"/>
    <w:rsid w:val="00F51A3F"/>
    <w:rsid w:val="00F5351F"/>
    <w:rsid w:val="00F537E4"/>
    <w:rsid w:val="00F56E8C"/>
    <w:rsid w:val="00F60C8B"/>
    <w:rsid w:val="00F677F0"/>
    <w:rsid w:val="00F67F9D"/>
    <w:rsid w:val="00F73353"/>
    <w:rsid w:val="00F75F7E"/>
    <w:rsid w:val="00F80C68"/>
    <w:rsid w:val="00F84C72"/>
    <w:rsid w:val="00F90B4C"/>
    <w:rsid w:val="00F920AA"/>
    <w:rsid w:val="00F93942"/>
    <w:rsid w:val="00F95110"/>
    <w:rsid w:val="00FA099D"/>
    <w:rsid w:val="00FA724A"/>
    <w:rsid w:val="00FB26C9"/>
    <w:rsid w:val="00FB5F93"/>
    <w:rsid w:val="00FC30D6"/>
    <w:rsid w:val="00FC47BB"/>
    <w:rsid w:val="00FC4D4B"/>
    <w:rsid w:val="00FC4FB0"/>
    <w:rsid w:val="00FC6C1A"/>
    <w:rsid w:val="00FC7E7D"/>
    <w:rsid w:val="00FD3ECC"/>
    <w:rsid w:val="00FD45D4"/>
    <w:rsid w:val="00FD511C"/>
    <w:rsid w:val="00FD5545"/>
    <w:rsid w:val="00FD7B08"/>
    <w:rsid w:val="00FE0D67"/>
    <w:rsid w:val="00FE1D9C"/>
    <w:rsid w:val="00FE2AA3"/>
    <w:rsid w:val="00FE3DE4"/>
    <w:rsid w:val="00FE49F3"/>
    <w:rsid w:val="00FE64F6"/>
    <w:rsid w:val="00FE7EB4"/>
    <w:rsid w:val="00FF55E8"/>
    <w:rsid w:val="00FF57D5"/>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C55"/>
  <w15:docId w15:val="{54597111-4B90-4F40-A458-00AED653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7F"/>
    <w:pPr>
      <w:spacing w:after="0" w:line="240" w:lineRule="auto"/>
      <w:contextualSpacing/>
    </w:pPr>
    <w:rPr>
      <w:rFonts w:asciiTheme="majorHAnsi" w:hAnsiTheme="majorHAnsi"/>
      <w:sz w:val="21"/>
    </w:rPr>
  </w:style>
  <w:style w:type="paragraph" w:styleId="Heading1">
    <w:name w:val="heading 1"/>
    <w:basedOn w:val="Normal"/>
    <w:next w:val="Normal"/>
    <w:link w:val="Heading1Char"/>
    <w:uiPriority w:val="9"/>
    <w:qFormat/>
    <w:rsid w:val="00436BD9"/>
    <w:pPr>
      <w:keepNext/>
      <w:keepLines/>
      <w:spacing w:before="240"/>
      <w:jc w:val="center"/>
      <w:outlineLvl w:val="0"/>
    </w:pPr>
    <w:rPr>
      <w:rFonts w:ascii="Century Gothic" w:eastAsiaTheme="majorEastAsia" w:hAnsi="Century Gothic" w:cs="Times New Roman (Headings CS)"/>
      <w:b/>
      <w:color w:val="1E376C"/>
      <w:sz w:val="48"/>
      <w:szCs w:val="32"/>
    </w:rPr>
  </w:style>
  <w:style w:type="paragraph" w:styleId="Heading3">
    <w:name w:val="heading 3"/>
    <w:basedOn w:val="Normal"/>
    <w:link w:val="Heading3Char"/>
    <w:uiPriority w:val="9"/>
    <w:qFormat/>
    <w:rsid w:val="003105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F83"/>
    <w:rPr>
      <w:color w:val="0563C1" w:themeColor="hyperlink"/>
      <w:u w:val="single"/>
    </w:rPr>
  </w:style>
  <w:style w:type="paragraph" w:styleId="BalloonText">
    <w:name w:val="Balloon Text"/>
    <w:basedOn w:val="Normal"/>
    <w:link w:val="BalloonTextChar"/>
    <w:uiPriority w:val="99"/>
    <w:semiHidden/>
    <w:unhideWhenUsed/>
    <w:rsid w:val="0032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25"/>
    <w:rPr>
      <w:rFonts w:ascii="Segoe UI" w:hAnsi="Segoe UI" w:cs="Segoe UI"/>
      <w:sz w:val="18"/>
      <w:szCs w:val="18"/>
    </w:rPr>
  </w:style>
  <w:style w:type="character" w:styleId="Emphasis">
    <w:name w:val="Emphasis"/>
    <w:basedOn w:val="DefaultParagraphFont"/>
    <w:uiPriority w:val="20"/>
    <w:qFormat/>
    <w:rsid w:val="003105DB"/>
    <w:rPr>
      <w:i/>
      <w:iCs/>
    </w:rPr>
  </w:style>
  <w:style w:type="character" w:customStyle="1" w:styleId="Heading3Char">
    <w:name w:val="Heading 3 Char"/>
    <w:basedOn w:val="DefaultParagraphFont"/>
    <w:link w:val="Heading3"/>
    <w:uiPriority w:val="9"/>
    <w:rsid w:val="003105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05D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7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w:basedOn w:val="Normal"/>
    <w:uiPriority w:val="34"/>
    <w:qFormat/>
    <w:rsid w:val="00985B7F"/>
    <w:pPr>
      <w:numPr>
        <w:numId w:val="4"/>
      </w:numPr>
      <w:ind w:left="720"/>
    </w:pPr>
    <w:rPr>
      <w:rFonts w:ascii="Century Gothic" w:hAnsi="Century Gothic"/>
      <w:b/>
    </w:rPr>
  </w:style>
  <w:style w:type="character" w:styleId="UnresolvedMention">
    <w:name w:val="Unresolved Mention"/>
    <w:basedOn w:val="DefaultParagraphFont"/>
    <w:uiPriority w:val="99"/>
    <w:semiHidden/>
    <w:unhideWhenUsed/>
    <w:rsid w:val="00D34058"/>
    <w:rPr>
      <w:color w:val="605E5C"/>
      <w:shd w:val="clear" w:color="auto" w:fill="E1DFDD"/>
    </w:rPr>
  </w:style>
  <w:style w:type="paragraph" w:styleId="Caption">
    <w:name w:val="caption"/>
    <w:basedOn w:val="Normal"/>
    <w:next w:val="Normal"/>
    <w:uiPriority w:val="35"/>
    <w:unhideWhenUsed/>
    <w:qFormat/>
    <w:rsid w:val="00C73AA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459C"/>
    <w:rPr>
      <w:sz w:val="16"/>
      <w:szCs w:val="16"/>
    </w:rPr>
  </w:style>
  <w:style w:type="paragraph" w:styleId="CommentText">
    <w:name w:val="annotation text"/>
    <w:basedOn w:val="Normal"/>
    <w:link w:val="CommentTextChar"/>
    <w:uiPriority w:val="99"/>
    <w:semiHidden/>
    <w:unhideWhenUsed/>
    <w:rsid w:val="0059459C"/>
    <w:rPr>
      <w:sz w:val="20"/>
      <w:szCs w:val="20"/>
    </w:rPr>
  </w:style>
  <w:style w:type="character" w:customStyle="1" w:styleId="CommentTextChar">
    <w:name w:val="Comment Text Char"/>
    <w:basedOn w:val="DefaultParagraphFont"/>
    <w:link w:val="CommentText"/>
    <w:uiPriority w:val="99"/>
    <w:semiHidden/>
    <w:rsid w:val="0059459C"/>
    <w:rPr>
      <w:sz w:val="20"/>
      <w:szCs w:val="20"/>
    </w:rPr>
  </w:style>
  <w:style w:type="paragraph" w:styleId="CommentSubject">
    <w:name w:val="annotation subject"/>
    <w:basedOn w:val="CommentText"/>
    <w:next w:val="CommentText"/>
    <w:link w:val="CommentSubjectChar"/>
    <w:uiPriority w:val="99"/>
    <w:semiHidden/>
    <w:unhideWhenUsed/>
    <w:rsid w:val="0059459C"/>
    <w:rPr>
      <w:b/>
      <w:bCs/>
    </w:rPr>
  </w:style>
  <w:style w:type="character" w:customStyle="1" w:styleId="CommentSubjectChar">
    <w:name w:val="Comment Subject Char"/>
    <w:basedOn w:val="CommentTextChar"/>
    <w:link w:val="CommentSubject"/>
    <w:uiPriority w:val="99"/>
    <w:semiHidden/>
    <w:rsid w:val="0059459C"/>
    <w:rPr>
      <w:b/>
      <w:bCs/>
      <w:sz w:val="20"/>
      <w:szCs w:val="20"/>
    </w:rPr>
  </w:style>
  <w:style w:type="paragraph" w:styleId="Header">
    <w:name w:val="header"/>
    <w:basedOn w:val="Normal"/>
    <w:link w:val="HeaderChar"/>
    <w:uiPriority w:val="99"/>
    <w:unhideWhenUsed/>
    <w:rsid w:val="003B327A"/>
    <w:pPr>
      <w:tabs>
        <w:tab w:val="center" w:pos="4680"/>
        <w:tab w:val="right" w:pos="9360"/>
      </w:tabs>
    </w:pPr>
  </w:style>
  <w:style w:type="character" w:customStyle="1" w:styleId="HeaderChar">
    <w:name w:val="Header Char"/>
    <w:basedOn w:val="DefaultParagraphFont"/>
    <w:link w:val="Header"/>
    <w:uiPriority w:val="99"/>
    <w:rsid w:val="003B327A"/>
  </w:style>
  <w:style w:type="paragraph" w:styleId="Footer">
    <w:name w:val="footer"/>
    <w:basedOn w:val="Normal"/>
    <w:link w:val="FooterChar"/>
    <w:uiPriority w:val="99"/>
    <w:unhideWhenUsed/>
    <w:rsid w:val="003B327A"/>
    <w:pPr>
      <w:tabs>
        <w:tab w:val="center" w:pos="4680"/>
        <w:tab w:val="right" w:pos="9360"/>
      </w:tabs>
    </w:pPr>
  </w:style>
  <w:style w:type="character" w:customStyle="1" w:styleId="FooterChar">
    <w:name w:val="Footer Char"/>
    <w:basedOn w:val="DefaultParagraphFont"/>
    <w:link w:val="Footer"/>
    <w:uiPriority w:val="99"/>
    <w:rsid w:val="003B327A"/>
  </w:style>
  <w:style w:type="character" w:customStyle="1" w:styleId="Heading1Char">
    <w:name w:val="Heading 1 Char"/>
    <w:basedOn w:val="DefaultParagraphFont"/>
    <w:link w:val="Heading1"/>
    <w:uiPriority w:val="9"/>
    <w:rsid w:val="00436BD9"/>
    <w:rPr>
      <w:rFonts w:ascii="Century Gothic" w:eastAsiaTheme="majorEastAsia" w:hAnsi="Century Gothic" w:cs="Times New Roman (Headings CS)"/>
      <w:b/>
      <w:color w:val="1E376C"/>
      <w:sz w:val="48"/>
      <w:szCs w:val="32"/>
    </w:rPr>
  </w:style>
  <w:style w:type="paragraph" w:customStyle="1" w:styleId="ParagraphIntro">
    <w:name w:val="Paragraph Intro"/>
    <w:basedOn w:val="Normal"/>
    <w:next w:val="Normal"/>
    <w:qFormat/>
    <w:rsid w:val="00985B7F"/>
    <w:pPr>
      <w:spacing w:before="120" w:after="120" w:line="300" w:lineRule="auto"/>
    </w:pPr>
    <w:rPr>
      <w:rFonts w:cs="Arial"/>
      <w:b/>
      <w:bCs/>
      <w:sz w:val="24"/>
      <w:u w:val="single"/>
    </w:rPr>
  </w:style>
  <w:style w:type="paragraph" w:customStyle="1" w:styleId="ContactInfoUpperLeft">
    <w:name w:val="Contact Info (Upper Left)"/>
    <w:basedOn w:val="Normal"/>
    <w:autoRedefine/>
    <w:qFormat/>
    <w:rsid w:val="00AD4C46"/>
    <w:pPr>
      <w:pBdr>
        <w:left w:val="single" w:sz="4" w:space="12" w:color="auto"/>
      </w:pBdr>
      <w:ind w:right="480" w:firstLine="720"/>
    </w:pPr>
    <w:rPr>
      <w:b/>
      <w:sz w:val="20"/>
      <w:szCs w:val="20"/>
    </w:rPr>
  </w:style>
  <w:style w:type="paragraph" w:customStyle="1" w:styleId="FORIMMEDIATERELEASE">
    <w:name w:val="FOR IMMEDIATE RELEASE"/>
    <w:basedOn w:val="Normal"/>
    <w:qFormat/>
    <w:rsid w:val="00AD4C46"/>
    <w:pPr>
      <w:ind w:right="480" w:firstLine="720"/>
    </w:pPr>
    <w:rPr>
      <w:rFonts w:ascii="Century Gothic" w:hAnsi="Century Gothic"/>
      <w:b/>
      <w:sz w:val="26"/>
      <w:szCs w:val="26"/>
    </w:rPr>
  </w:style>
  <w:style w:type="paragraph" w:customStyle="1" w:styleId="Noted">
    <w:name w:val="Noted"/>
    <w:basedOn w:val="Normal"/>
    <w:qFormat/>
    <w:rsid w:val="00985B7F"/>
    <w:rPr>
      <w:sz w:val="16"/>
      <w:szCs w:val="20"/>
    </w:rPr>
  </w:style>
  <w:style w:type="character" w:styleId="PageNumber">
    <w:name w:val="page number"/>
    <w:basedOn w:val="DefaultParagraphFont"/>
    <w:uiPriority w:val="99"/>
    <w:semiHidden/>
    <w:unhideWhenUsed/>
    <w:rsid w:val="0010266B"/>
  </w:style>
  <w:style w:type="character" w:customStyle="1" w:styleId="NormalCalloutText">
    <w:name w:val="Normal Callout Text"/>
    <w:basedOn w:val="DefaultParagraphFont"/>
    <w:uiPriority w:val="1"/>
    <w:qFormat/>
    <w:rsid w:val="00436BD9"/>
    <w:rPr>
      <w:rFonts w:ascii="Century Gothic" w:hAnsi="Century Gothic"/>
      <w:b/>
      <w:bCs/>
      <w:i w:val="0"/>
      <w:color w:val="203058"/>
    </w:rPr>
  </w:style>
  <w:style w:type="paragraph" w:customStyle="1" w:styleId="Style1">
    <w:name w:val="Style1"/>
    <w:basedOn w:val="ListParagraph"/>
    <w:qFormat/>
    <w:rsid w:val="00F84C72"/>
    <w:pPr>
      <w:keepLines/>
      <w:numPr>
        <w:numId w:val="5"/>
      </w:numPr>
      <w:mirrorIndents/>
    </w:pPr>
  </w:style>
  <w:style w:type="paragraph" w:customStyle="1" w:styleId="Numbers">
    <w:name w:val="Numbers"/>
    <w:basedOn w:val="ListParagraph"/>
    <w:autoRedefine/>
    <w:qFormat/>
    <w:rsid w:val="00D00518"/>
    <w:pPr>
      <w:numPr>
        <w:numId w:val="7"/>
      </w:numPr>
      <w:spacing w:before="240" w:after="240" w:line="360" w:lineRule="auto"/>
    </w:pPr>
    <w:rPr>
      <w:b w:val="0"/>
    </w:rPr>
  </w:style>
  <w:style w:type="paragraph" w:customStyle="1" w:styleId="SectionCallout">
    <w:name w:val="Section Callout"/>
    <w:autoRedefine/>
    <w:qFormat/>
    <w:rsid w:val="00092126"/>
    <w:pPr>
      <w:keepNext/>
      <w:pBdr>
        <w:top w:val="single" w:sz="4" w:space="4" w:color="auto"/>
        <w:bottom w:val="single" w:sz="4" w:space="3" w:color="auto"/>
      </w:pBdr>
      <w:suppressAutoHyphens/>
      <w:spacing w:after="0" w:line="240" w:lineRule="auto"/>
      <w:jc w:val="center"/>
    </w:pPr>
    <w:rPr>
      <w:rFonts w:ascii="Century Gothic" w:hAnsi="Century Gothic"/>
      <w:b/>
      <w:sz w:val="28"/>
      <w:szCs w:val="28"/>
    </w:rPr>
  </w:style>
  <w:style w:type="numbering" w:customStyle="1" w:styleId="CurrentList1">
    <w:name w:val="Current List1"/>
    <w:uiPriority w:val="99"/>
    <w:rsid w:val="00F84C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2959">
      <w:bodyDiv w:val="1"/>
      <w:marLeft w:val="0"/>
      <w:marRight w:val="0"/>
      <w:marTop w:val="0"/>
      <w:marBottom w:val="0"/>
      <w:divBdr>
        <w:top w:val="none" w:sz="0" w:space="0" w:color="auto"/>
        <w:left w:val="none" w:sz="0" w:space="0" w:color="auto"/>
        <w:bottom w:val="none" w:sz="0" w:space="0" w:color="auto"/>
        <w:right w:val="none" w:sz="0" w:space="0" w:color="auto"/>
      </w:divBdr>
    </w:div>
    <w:div w:id="338898304">
      <w:bodyDiv w:val="1"/>
      <w:marLeft w:val="0"/>
      <w:marRight w:val="0"/>
      <w:marTop w:val="0"/>
      <w:marBottom w:val="0"/>
      <w:divBdr>
        <w:top w:val="none" w:sz="0" w:space="0" w:color="auto"/>
        <w:left w:val="none" w:sz="0" w:space="0" w:color="auto"/>
        <w:bottom w:val="none" w:sz="0" w:space="0" w:color="auto"/>
        <w:right w:val="none" w:sz="0" w:space="0" w:color="auto"/>
      </w:divBdr>
    </w:div>
    <w:div w:id="519974862">
      <w:bodyDiv w:val="1"/>
      <w:marLeft w:val="0"/>
      <w:marRight w:val="0"/>
      <w:marTop w:val="0"/>
      <w:marBottom w:val="0"/>
      <w:divBdr>
        <w:top w:val="none" w:sz="0" w:space="0" w:color="auto"/>
        <w:left w:val="none" w:sz="0" w:space="0" w:color="auto"/>
        <w:bottom w:val="none" w:sz="0" w:space="0" w:color="auto"/>
        <w:right w:val="none" w:sz="0" w:space="0" w:color="auto"/>
      </w:divBdr>
    </w:div>
    <w:div w:id="809322476">
      <w:bodyDiv w:val="1"/>
      <w:marLeft w:val="0"/>
      <w:marRight w:val="0"/>
      <w:marTop w:val="0"/>
      <w:marBottom w:val="0"/>
      <w:divBdr>
        <w:top w:val="none" w:sz="0" w:space="0" w:color="auto"/>
        <w:left w:val="none" w:sz="0" w:space="0" w:color="auto"/>
        <w:bottom w:val="none" w:sz="0" w:space="0" w:color="auto"/>
        <w:right w:val="none" w:sz="0" w:space="0" w:color="auto"/>
      </w:divBdr>
    </w:div>
    <w:div w:id="859507291">
      <w:bodyDiv w:val="1"/>
      <w:marLeft w:val="0"/>
      <w:marRight w:val="0"/>
      <w:marTop w:val="0"/>
      <w:marBottom w:val="0"/>
      <w:divBdr>
        <w:top w:val="none" w:sz="0" w:space="0" w:color="auto"/>
        <w:left w:val="none" w:sz="0" w:space="0" w:color="auto"/>
        <w:bottom w:val="none" w:sz="0" w:space="0" w:color="auto"/>
        <w:right w:val="none" w:sz="0" w:space="0" w:color="auto"/>
      </w:divBdr>
    </w:div>
    <w:div w:id="984774028">
      <w:bodyDiv w:val="1"/>
      <w:marLeft w:val="0"/>
      <w:marRight w:val="0"/>
      <w:marTop w:val="0"/>
      <w:marBottom w:val="0"/>
      <w:divBdr>
        <w:top w:val="none" w:sz="0" w:space="0" w:color="auto"/>
        <w:left w:val="none" w:sz="0" w:space="0" w:color="auto"/>
        <w:bottom w:val="none" w:sz="0" w:space="0" w:color="auto"/>
        <w:right w:val="none" w:sz="0" w:space="0" w:color="auto"/>
      </w:divBdr>
    </w:div>
    <w:div w:id="1262571844">
      <w:bodyDiv w:val="1"/>
      <w:marLeft w:val="0"/>
      <w:marRight w:val="0"/>
      <w:marTop w:val="0"/>
      <w:marBottom w:val="0"/>
      <w:divBdr>
        <w:top w:val="none" w:sz="0" w:space="0" w:color="auto"/>
        <w:left w:val="none" w:sz="0" w:space="0" w:color="auto"/>
        <w:bottom w:val="none" w:sz="0" w:space="0" w:color="auto"/>
        <w:right w:val="none" w:sz="0" w:space="0" w:color="auto"/>
      </w:divBdr>
    </w:div>
    <w:div w:id="1414355857">
      <w:bodyDiv w:val="1"/>
      <w:marLeft w:val="0"/>
      <w:marRight w:val="0"/>
      <w:marTop w:val="0"/>
      <w:marBottom w:val="0"/>
      <w:divBdr>
        <w:top w:val="none" w:sz="0" w:space="0" w:color="auto"/>
        <w:left w:val="none" w:sz="0" w:space="0" w:color="auto"/>
        <w:bottom w:val="none" w:sz="0" w:space="0" w:color="auto"/>
        <w:right w:val="none" w:sz="0" w:space="0" w:color="auto"/>
      </w:divBdr>
    </w:div>
    <w:div w:id="1445222968">
      <w:bodyDiv w:val="1"/>
      <w:marLeft w:val="0"/>
      <w:marRight w:val="0"/>
      <w:marTop w:val="0"/>
      <w:marBottom w:val="0"/>
      <w:divBdr>
        <w:top w:val="none" w:sz="0" w:space="0" w:color="auto"/>
        <w:left w:val="none" w:sz="0" w:space="0" w:color="auto"/>
        <w:bottom w:val="none" w:sz="0" w:space="0" w:color="auto"/>
        <w:right w:val="none" w:sz="0" w:space="0" w:color="auto"/>
      </w:divBdr>
    </w:div>
    <w:div w:id="1631017263">
      <w:bodyDiv w:val="1"/>
      <w:marLeft w:val="0"/>
      <w:marRight w:val="0"/>
      <w:marTop w:val="0"/>
      <w:marBottom w:val="0"/>
      <w:divBdr>
        <w:top w:val="none" w:sz="0" w:space="0" w:color="auto"/>
        <w:left w:val="none" w:sz="0" w:space="0" w:color="auto"/>
        <w:bottom w:val="none" w:sz="0" w:space="0" w:color="auto"/>
        <w:right w:val="none" w:sz="0" w:space="0" w:color="auto"/>
      </w:divBdr>
    </w:div>
    <w:div w:id="1666938611">
      <w:bodyDiv w:val="1"/>
      <w:marLeft w:val="0"/>
      <w:marRight w:val="0"/>
      <w:marTop w:val="0"/>
      <w:marBottom w:val="0"/>
      <w:divBdr>
        <w:top w:val="none" w:sz="0" w:space="0" w:color="auto"/>
        <w:left w:val="none" w:sz="0" w:space="0" w:color="auto"/>
        <w:bottom w:val="none" w:sz="0" w:space="0" w:color="auto"/>
        <w:right w:val="none" w:sz="0" w:space="0" w:color="auto"/>
      </w:divBdr>
    </w:div>
    <w:div w:id="1719818471">
      <w:bodyDiv w:val="1"/>
      <w:marLeft w:val="0"/>
      <w:marRight w:val="0"/>
      <w:marTop w:val="0"/>
      <w:marBottom w:val="0"/>
      <w:divBdr>
        <w:top w:val="none" w:sz="0" w:space="0" w:color="auto"/>
        <w:left w:val="none" w:sz="0" w:space="0" w:color="auto"/>
        <w:bottom w:val="none" w:sz="0" w:space="0" w:color="auto"/>
        <w:right w:val="none" w:sz="0" w:space="0" w:color="auto"/>
      </w:divBdr>
    </w:div>
    <w:div w:id="2031178944">
      <w:bodyDiv w:val="1"/>
      <w:marLeft w:val="0"/>
      <w:marRight w:val="0"/>
      <w:marTop w:val="0"/>
      <w:marBottom w:val="0"/>
      <w:divBdr>
        <w:top w:val="none" w:sz="0" w:space="0" w:color="auto"/>
        <w:left w:val="none" w:sz="0" w:space="0" w:color="auto"/>
        <w:bottom w:val="none" w:sz="0" w:space="0" w:color="auto"/>
        <w:right w:val="none" w:sz="0" w:space="0" w:color="auto"/>
      </w:divBdr>
    </w:div>
    <w:div w:id="210935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mar." TargetMode="Externa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ike@gmar." TargetMode="External"/><Relationship Id="rId14" Type="http://schemas.openxmlformats.org/officeDocument/2006/relationships/chart" Target="charts/chart5.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Seasonally Adjusted Inventory</a:t>
            </a:r>
          </a:p>
          <a:p>
            <a:pPr>
              <a:defRPr>
                <a:solidFill>
                  <a:sysClr val="windowText" lastClr="000000"/>
                </a:solidFill>
                <a:latin typeface="Palatino Linotype" panose="02040502050505030304" pitchFamily="18" charset="0"/>
              </a:defRPr>
            </a:pPr>
            <a:r>
              <a:rPr lang="en-US" sz="900">
                <a:solidFill>
                  <a:sysClr val="windowText" lastClr="000000"/>
                </a:solidFill>
                <a:latin typeface="Palatino Linotype" panose="02040502050505030304" pitchFamily="18" charset="0"/>
              </a:rPr>
              <a:t>(units left</a:t>
            </a:r>
            <a:r>
              <a:rPr lang="en-US" sz="900" baseline="0">
                <a:solidFill>
                  <a:sysClr val="windowText" lastClr="000000"/>
                </a:solidFill>
                <a:latin typeface="Palatino Linotype" panose="02040502050505030304" pitchFamily="18" charset="0"/>
              </a:rPr>
              <a:t> side, months right side)</a:t>
            </a:r>
            <a:endParaRPr lang="en-US" sz="900">
              <a:solidFill>
                <a:sysClr val="windowText" lastClr="000000"/>
              </a:solidFill>
              <a:latin typeface="Palatino Linotype" panose="02040502050505030304" pitchFamily="18" charset="0"/>
            </a:endParaRPr>
          </a:p>
        </c:rich>
      </c:tx>
      <c:layout>
        <c:manualLayout>
          <c:xMode val="edge"/>
          <c:yMode val="edge"/>
          <c:x val="0.28708296879556716"/>
          <c:y val="1.612360954880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endParaRPr lang="en-US"/>
        </a:p>
      </c:txPr>
    </c:title>
    <c:autoTitleDeleted val="0"/>
    <c:plotArea>
      <c:layout>
        <c:manualLayout>
          <c:layoutTarget val="inner"/>
          <c:xMode val="edge"/>
          <c:yMode val="edge"/>
          <c:x val="9.8977998681911913E-2"/>
          <c:y val="0.14728474319091048"/>
          <c:w val="0.83530976540300172"/>
          <c:h val="0.61226301362071822"/>
        </c:manualLayout>
      </c:layout>
      <c:areaChart>
        <c:grouping val="stacked"/>
        <c:varyColors val="0"/>
        <c:ser>
          <c:idx val="0"/>
          <c:order val="0"/>
          <c:tx>
            <c:strRef>
              <c:f>'Monthly Stats Data'!$A$137</c:f>
              <c:strCache>
                <c:ptCount val="1"/>
                <c:pt idx="0">
                  <c:v>Current Active</c:v>
                </c:pt>
              </c:strCache>
            </c:strRef>
          </c:tx>
          <c:spPr>
            <a:solidFill>
              <a:srgbClr val="8497B0"/>
            </a:solidFill>
            <a:ln>
              <a:noFill/>
            </a:ln>
            <a:effectLst/>
          </c:spPr>
          <c:cat>
            <c:strRef>
              <c:f>'Monthly Stats Data'!$B$135:$M$135</c:f>
              <c:strCache>
                <c:ptCount val="12"/>
                <c:pt idx="0">
                  <c:v>Jul</c:v>
                </c:pt>
                <c:pt idx="1">
                  <c:v>Aug</c:v>
                </c:pt>
                <c:pt idx="2">
                  <c:v>Sept</c:v>
                </c:pt>
                <c:pt idx="3">
                  <c:v>Oct</c:v>
                </c:pt>
                <c:pt idx="4">
                  <c:v>Nov</c:v>
                </c:pt>
                <c:pt idx="5">
                  <c:v>Dec</c:v>
                </c:pt>
                <c:pt idx="6">
                  <c:v>Jan</c:v>
                </c:pt>
                <c:pt idx="7">
                  <c:v>Feb</c:v>
                </c:pt>
                <c:pt idx="8">
                  <c:v>Mar</c:v>
                </c:pt>
                <c:pt idx="9">
                  <c:v>Apr</c:v>
                </c:pt>
                <c:pt idx="10">
                  <c:v>May</c:v>
                </c:pt>
                <c:pt idx="11">
                  <c:v>Jun</c:v>
                </c:pt>
              </c:strCache>
            </c:strRef>
          </c:cat>
          <c:val>
            <c:numRef>
              <c:f>'Monthly Stats Data'!$B$137:$M$137</c:f>
              <c:numCache>
                <c:formatCode>_(* #,##0_);_(* \(#,##0\);_(* "-"??_);_(@_)</c:formatCode>
                <c:ptCount val="12"/>
                <c:pt idx="0">
                  <c:v>2850</c:v>
                </c:pt>
                <c:pt idx="1">
                  <c:v>3190</c:v>
                </c:pt>
                <c:pt idx="2">
                  <c:v>3374</c:v>
                </c:pt>
                <c:pt idx="3">
                  <c:v>3373</c:v>
                </c:pt>
                <c:pt idx="4">
                  <c:v>3024</c:v>
                </c:pt>
                <c:pt idx="5">
                  <c:v>2485</c:v>
                </c:pt>
                <c:pt idx="6">
                  <c:v>2376</c:v>
                </c:pt>
                <c:pt idx="7">
                  <c:v>2342</c:v>
                </c:pt>
                <c:pt idx="8">
                  <c:v>2670</c:v>
                </c:pt>
                <c:pt idx="9">
                  <c:v>2678</c:v>
                </c:pt>
                <c:pt idx="10">
                  <c:v>2995</c:v>
                </c:pt>
                <c:pt idx="11">
                  <c:v>3266</c:v>
                </c:pt>
              </c:numCache>
            </c:numRef>
          </c:val>
          <c:extLst>
            <c:ext xmlns:c16="http://schemas.microsoft.com/office/drawing/2014/chart" uri="{C3380CC4-5D6E-409C-BE32-E72D297353CC}">
              <c16:uniqueId val="{00000000-ABBD-4028-92E6-57B9F7BECFA8}"/>
            </c:ext>
          </c:extLst>
        </c:ser>
        <c:ser>
          <c:idx val="1"/>
          <c:order val="2"/>
          <c:tx>
            <c:strRef>
              <c:f>'Monthly Stats Data'!$A$138</c:f>
              <c:strCache>
                <c:ptCount val="1"/>
                <c:pt idx="0">
                  <c:v>Active With Offer</c:v>
                </c:pt>
              </c:strCache>
            </c:strRef>
          </c:tx>
          <c:spPr>
            <a:solidFill>
              <a:srgbClr val="1F4E79"/>
            </a:solidFill>
            <a:ln>
              <a:noFill/>
            </a:ln>
            <a:effectLst/>
          </c:spPr>
          <c:cat>
            <c:strRef>
              <c:f>'Monthly Stats Data'!$B$135:$M$135</c:f>
              <c:strCache>
                <c:ptCount val="12"/>
                <c:pt idx="0">
                  <c:v>Jul</c:v>
                </c:pt>
                <c:pt idx="1">
                  <c:v>Aug</c:v>
                </c:pt>
                <c:pt idx="2">
                  <c:v>Sept</c:v>
                </c:pt>
                <c:pt idx="3">
                  <c:v>Oct</c:v>
                </c:pt>
                <c:pt idx="4">
                  <c:v>Nov</c:v>
                </c:pt>
                <c:pt idx="5">
                  <c:v>Dec</c:v>
                </c:pt>
                <c:pt idx="6">
                  <c:v>Jan</c:v>
                </c:pt>
                <c:pt idx="7">
                  <c:v>Feb</c:v>
                </c:pt>
                <c:pt idx="8">
                  <c:v>Mar</c:v>
                </c:pt>
                <c:pt idx="9">
                  <c:v>Apr</c:v>
                </c:pt>
                <c:pt idx="10">
                  <c:v>May</c:v>
                </c:pt>
                <c:pt idx="11">
                  <c:v>Jun</c:v>
                </c:pt>
              </c:strCache>
            </c:strRef>
          </c:cat>
          <c:val>
            <c:numRef>
              <c:f>'Monthly Stats Data'!$B$138:$M$138</c:f>
              <c:numCache>
                <c:formatCode>#,##0</c:formatCode>
                <c:ptCount val="12"/>
                <c:pt idx="0" formatCode="_(* #,##0_);_(* \(#,##0\);_(* &quot;-&quot;??_);_(@_)">
                  <c:v>1586</c:v>
                </c:pt>
                <c:pt idx="1">
                  <c:v>1422</c:v>
                </c:pt>
                <c:pt idx="2" formatCode="_(* #,##0_);_(* \(#,##0\);_(* &quot;-&quot;??_);_(@_)">
                  <c:v>1406</c:v>
                </c:pt>
                <c:pt idx="3" formatCode="_(* #,##0_);_(* \(#,##0\);_(* &quot;-&quot;??_);_(@_)">
                  <c:v>1395</c:v>
                </c:pt>
                <c:pt idx="4" formatCode="_(* #,##0_);_(* \(#,##0\);_(* &quot;-&quot;??_);_(@_)">
                  <c:v>1131</c:v>
                </c:pt>
                <c:pt idx="5" formatCode="_(* #,##0_);_(* \(#,##0\);_(* &quot;-&quot;??_);_(@_)">
                  <c:v>818</c:v>
                </c:pt>
                <c:pt idx="6" formatCode="_(* #,##0_);_(* \(#,##0\);_(* &quot;-&quot;??_);_(@_)">
                  <c:v>1032</c:v>
                </c:pt>
                <c:pt idx="7" formatCode="_(* #,##0_);_(* \(#,##0\);_(* &quot;-&quot;??_);_(@_)">
                  <c:v>1298</c:v>
                </c:pt>
                <c:pt idx="8" formatCode="_(* #,##0_);_(* \(#,##0\);_(* &quot;-&quot;??_);_(@_)">
                  <c:v>1475</c:v>
                </c:pt>
                <c:pt idx="9" formatCode="_(* #,##0_);_(* \(#,##0\);_(* &quot;-&quot;??_);_(@_)">
                  <c:v>1863</c:v>
                </c:pt>
                <c:pt idx="10" formatCode="_(* #,##0_);_(* \(#,##0\);_(* &quot;-&quot;??_);_(@_)">
                  <c:v>1840</c:v>
                </c:pt>
                <c:pt idx="11" formatCode="_(* #,##0_);_(* \(#,##0\);_(* &quot;-&quot;??_);_(@_)">
                  <c:v>1598</c:v>
                </c:pt>
              </c:numCache>
            </c:numRef>
          </c:val>
          <c:extLst>
            <c:ext xmlns:c16="http://schemas.microsoft.com/office/drawing/2014/chart" uri="{C3380CC4-5D6E-409C-BE32-E72D297353CC}">
              <c16:uniqueId val="{00000001-ABBD-4028-92E6-57B9F7BECFA8}"/>
            </c:ext>
          </c:extLst>
        </c:ser>
        <c:dLbls>
          <c:showLegendKey val="0"/>
          <c:showVal val="0"/>
          <c:showCatName val="0"/>
          <c:showSerName val="0"/>
          <c:showPercent val="0"/>
          <c:showBubbleSize val="0"/>
        </c:dLbls>
        <c:axId val="205910536"/>
        <c:axId val="458226432"/>
      </c:areaChart>
      <c:lineChart>
        <c:grouping val="standard"/>
        <c:varyColors val="0"/>
        <c:ser>
          <c:idx val="3"/>
          <c:order val="1"/>
          <c:tx>
            <c:strRef>
              <c:f>'Monthly Stats Data'!$A$139</c:f>
              <c:strCache>
                <c:ptCount val="1"/>
                <c:pt idx="0">
                  <c:v>Mos of Inventory</c:v>
                </c:pt>
              </c:strCache>
            </c:strRef>
          </c:tx>
          <c:spPr>
            <a:ln w="38100" cap="rnd">
              <a:solidFill>
                <a:schemeClr val="tx1">
                  <a:lumMod val="50000"/>
                  <a:lumOff val="50000"/>
                </a:schemeClr>
              </a:solidFill>
              <a:round/>
            </a:ln>
            <a:effectLst/>
          </c:spPr>
          <c:marker>
            <c:symbol val="none"/>
          </c:marker>
          <c:cat>
            <c:strRef>
              <c:f>'Monthly Stats Data'!$B$135:$M$135</c:f>
              <c:strCache>
                <c:ptCount val="12"/>
                <c:pt idx="0">
                  <c:v>Jul</c:v>
                </c:pt>
                <c:pt idx="1">
                  <c:v>Aug</c:v>
                </c:pt>
                <c:pt idx="2">
                  <c:v>Sept</c:v>
                </c:pt>
                <c:pt idx="3">
                  <c:v>Oct</c:v>
                </c:pt>
                <c:pt idx="4">
                  <c:v>Nov</c:v>
                </c:pt>
                <c:pt idx="5">
                  <c:v>Dec</c:v>
                </c:pt>
                <c:pt idx="6">
                  <c:v>Jan</c:v>
                </c:pt>
                <c:pt idx="7">
                  <c:v>Feb</c:v>
                </c:pt>
                <c:pt idx="8">
                  <c:v>Mar</c:v>
                </c:pt>
                <c:pt idx="9">
                  <c:v>Apr</c:v>
                </c:pt>
                <c:pt idx="10">
                  <c:v>May</c:v>
                </c:pt>
                <c:pt idx="11">
                  <c:v>Jun</c:v>
                </c:pt>
              </c:strCache>
            </c:strRef>
          </c:cat>
          <c:val>
            <c:numRef>
              <c:f>'Monthly Stats Data'!$B$139:$M$139</c:f>
              <c:numCache>
                <c:formatCode>_(* #,##0.0_);_(* \(#,##0.0\);_(* "-"??_);_(@_)</c:formatCode>
                <c:ptCount val="12"/>
                <c:pt idx="0">
                  <c:v>3.1</c:v>
                </c:pt>
                <c:pt idx="1">
                  <c:v>3.3</c:v>
                </c:pt>
                <c:pt idx="2">
                  <c:v>3.4</c:v>
                </c:pt>
                <c:pt idx="3">
                  <c:v>3.4</c:v>
                </c:pt>
                <c:pt idx="4">
                  <c:v>2.9</c:v>
                </c:pt>
                <c:pt idx="5">
                  <c:v>2.2999999999999998</c:v>
                </c:pt>
                <c:pt idx="6">
                  <c:v>2.4</c:v>
                </c:pt>
                <c:pt idx="7">
                  <c:v>2.6</c:v>
                </c:pt>
                <c:pt idx="8">
                  <c:v>2.9</c:v>
                </c:pt>
                <c:pt idx="9">
                  <c:v>3.2</c:v>
                </c:pt>
                <c:pt idx="10">
                  <c:v>3.4</c:v>
                </c:pt>
                <c:pt idx="11">
                  <c:v>3.4</c:v>
                </c:pt>
              </c:numCache>
            </c:numRef>
          </c:val>
          <c:smooth val="0"/>
          <c:extLst>
            <c:ext xmlns:c16="http://schemas.microsoft.com/office/drawing/2014/chart" uri="{C3380CC4-5D6E-409C-BE32-E72D297353CC}">
              <c16:uniqueId val="{00000002-ABBD-4028-92E6-57B9F7BECFA8}"/>
            </c:ext>
          </c:extLst>
        </c:ser>
        <c:ser>
          <c:idx val="2"/>
          <c:order val="3"/>
          <c:tx>
            <c:strRef>
              <c:f>'Monthly Stats Data'!$A$140</c:f>
              <c:strCache>
                <c:ptCount val="1"/>
                <c:pt idx="0">
                  <c:v>Net Mos of Inventory</c:v>
                </c:pt>
              </c:strCache>
            </c:strRef>
          </c:tx>
          <c:spPr>
            <a:ln w="38100" cap="rnd">
              <a:solidFill>
                <a:sysClr val="windowText" lastClr="000000"/>
              </a:solidFill>
              <a:round/>
            </a:ln>
            <a:effectLst/>
          </c:spPr>
          <c:marker>
            <c:symbol val="none"/>
          </c:marker>
          <c:cat>
            <c:strRef>
              <c:f>'Monthly Stats Data'!$B$135:$M$135</c:f>
              <c:strCache>
                <c:ptCount val="12"/>
                <c:pt idx="0">
                  <c:v>Jul</c:v>
                </c:pt>
                <c:pt idx="1">
                  <c:v>Aug</c:v>
                </c:pt>
                <c:pt idx="2">
                  <c:v>Sept</c:v>
                </c:pt>
                <c:pt idx="3">
                  <c:v>Oct</c:v>
                </c:pt>
                <c:pt idx="4">
                  <c:v>Nov</c:v>
                </c:pt>
                <c:pt idx="5">
                  <c:v>Dec</c:v>
                </c:pt>
                <c:pt idx="6">
                  <c:v>Jan</c:v>
                </c:pt>
                <c:pt idx="7">
                  <c:v>Feb</c:v>
                </c:pt>
                <c:pt idx="8">
                  <c:v>Mar</c:v>
                </c:pt>
                <c:pt idx="9">
                  <c:v>Apr</c:v>
                </c:pt>
                <c:pt idx="10">
                  <c:v>May</c:v>
                </c:pt>
                <c:pt idx="11">
                  <c:v>Jun</c:v>
                </c:pt>
              </c:strCache>
            </c:strRef>
          </c:cat>
          <c:val>
            <c:numRef>
              <c:f>'Monthly Stats Data'!$B$140:$M$140</c:f>
              <c:numCache>
                <c:formatCode>_(* #,##0.0_);_(* \(#,##0.0\);_(* "-"??_);_(@_)</c:formatCode>
                <c:ptCount val="12"/>
                <c:pt idx="0">
                  <c:v>1.5</c:v>
                </c:pt>
                <c:pt idx="1">
                  <c:v>1.6</c:v>
                </c:pt>
                <c:pt idx="2">
                  <c:v>1.8</c:v>
                </c:pt>
                <c:pt idx="3">
                  <c:v>1.7</c:v>
                </c:pt>
                <c:pt idx="4">
                  <c:v>1.4</c:v>
                </c:pt>
                <c:pt idx="5">
                  <c:v>1.2</c:v>
                </c:pt>
                <c:pt idx="6">
                  <c:v>1.2</c:v>
                </c:pt>
                <c:pt idx="7">
                  <c:v>1.2</c:v>
                </c:pt>
                <c:pt idx="8">
                  <c:v>1.3</c:v>
                </c:pt>
                <c:pt idx="9">
                  <c:v>1.3</c:v>
                </c:pt>
                <c:pt idx="10">
                  <c:v>1.4</c:v>
                </c:pt>
                <c:pt idx="11">
                  <c:v>1.6</c:v>
                </c:pt>
              </c:numCache>
            </c:numRef>
          </c:val>
          <c:smooth val="0"/>
          <c:extLst>
            <c:ext xmlns:c16="http://schemas.microsoft.com/office/drawing/2014/chart" uri="{C3380CC4-5D6E-409C-BE32-E72D297353CC}">
              <c16:uniqueId val="{00000003-ABBD-4028-92E6-57B9F7BECFA8}"/>
            </c:ext>
          </c:extLst>
        </c:ser>
        <c:dLbls>
          <c:showLegendKey val="0"/>
          <c:showVal val="0"/>
          <c:showCatName val="0"/>
          <c:showSerName val="0"/>
          <c:showPercent val="0"/>
          <c:showBubbleSize val="0"/>
        </c:dLbls>
        <c:marker val="1"/>
        <c:smooth val="0"/>
        <c:axId val="458226824"/>
        <c:axId val="458229176"/>
      </c:lineChart>
      <c:catAx>
        <c:axId val="20591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432"/>
        <c:crosses val="autoZero"/>
        <c:auto val="1"/>
        <c:lblAlgn val="ctr"/>
        <c:lblOffset val="100"/>
        <c:noMultiLvlLbl val="0"/>
      </c:catAx>
      <c:valAx>
        <c:axId val="4582264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205910536"/>
        <c:crosses val="autoZero"/>
        <c:crossBetween val="between"/>
      </c:valAx>
      <c:valAx>
        <c:axId val="458229176"/>
        <c:scaling>
          <c:orientation val="minMax"/>
        </c:scaling>
        <c:delete val="0"/>
        <c:axPos val="r"/>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824"/>
        <c:crosses val="max"/>
        <c:crossBetween val="between"/>
      </c:valAx>
      <c:catAx>
        <c:axId val="458226824"/>
        <c:scaling>
          <c:orientation val="minMax"/>
        </c:scaling>
        <c:delete val="1"/>
        <c:axPos val="b"/>
        <c:numFmt formatCode="General" sourceLinked="1"/>
        <c:majorTickMark val="out"/>
        <c:minorTickMark val="none"/>
        <c:tickLblPos val="nextTo"/>
        <c:crossAx val="458229176"/>
        <c:crosses val="autoZero"/>
        <c:auto val="1"/>
        <c:lblAlgn val="ctr"/>
        <c:lblOffset val="100"/>
        <c:noMultiLvlLbl val="0"/>
      </c:catAx>
      <c:spPr>
        <a:noFill/>
        <a:ln>
          <a:solidFill>
            <a:schemeClr val="tx2">
              <a:lumMod val="60000"/>
              <a:lumOff val="40000"/>
            </a:schemeClr>
          </a:solidFill>
        </a:ln>
        <a:effectLst/>
      </c:spPr>
    </c:plotArea>
    <c:legend>
      <c:legendPos val="b"/>
      <c:layout>
        <c:manualLayout>
          <c:xMode val="edge"/>
          <c:yMode val="edge"/>
          <c:x val="0.15282993400682179"/>
          <c:y val="0.86435268229202522"/>
          <c:w val="0.71657527714442404"/>
          <c:h val="0.124566382327209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aseline="0">
          <a:latin typeface="Calibri" panose="020F050202020403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New Units Needed To Reach 6.0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plotArea>
      <c:layout/>
      <c:barChart>
        <c:barDir val="col"/>
        <c:grouping val="stacked"/>
        <c:varyColors val="0"/>
        <c:ser>
          <c:idx val="0"/>
          <c:order val="0"/>
          <c:tx>
            <c:strRef>
              <c:f>'Monthly Stats Data'!$Q$137</c:f>
              <c:strCache>
                <c:ptCount val="1"/>
                <c:pt idx="0">
                  <c:v>Listings</c:v>
                </c:pt>
              </c:strCache>
            </c:strRef>
          </c:tx>
          <c:spPr>
            <a:solidFill>
              <a:srgbClr val="1F4E79"/>
            </a:solidFill>
            <a:ln>
              <a:noFill/>
            </a:ln>
            <a:effectLst/>
          </c:spPr>
          <c:invertIfNegative val="0"/>
          <c:dLbls>
            <c:spPr>
              <a:noFill/>
              <a:ln>
                <a:noFill/>
              </a:ln>
              <a:effectLst/>
            </c:spPr>
            <c:txPr>
              <a:bodyPr rot="-5400000" spcFirstLastPara="1" vertOverflow="overflow" horzOverflow="overflow" vert="horz" wrap="square" lIns="38100" tIns="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'Monthly Stats Data'!$P$144:$P$155</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'Monthly Stats Data'!$Q$144:$Q$155</c:f>
              <c:numCache>
                <c:formatCode>_(* #,##0_);_(* \(#,##0\);_(* "-"??_);_(@_)</c:formatCode>
                <c:ptCount val="12"/>
                <c:pt idx="0">
                  <c:v>4436</c:v>
                </c:pt>
                <c:pt idx="1">
                  <c:v>4612</c:v>
                </c:pt>
                <c:pt idx="2">
                  <c:v>4780</c:v>
                </c:pt>
                <c:pt idx="3">
                  <c:v>4768</c:v>
                </c:pt>
                <c:pt idx="4">
                  <c:v>4155</c:v>
                </c:pt>
                <c:pt idx="5">
                  <c:v>3303</c:v>
                </c:pt>
                <c:pt idx="6">
                  <c:v>3408</c:v>
                </c:pt>
                <c:pt idx="7">
                  <c:v>3640</c:v>
                </c:pt>
                <c:pt idx="8">
                  <c:v>4145</c:v>
                </c:pt>
                <c:pt idx="9">
                  <c:v>4541</c:v>
                </c:pt>
                <c:pt idx="10">
                  <c:v>4835</c:v>
                </c:pt>
                <c:pt idx="11">
                  <c:v>4864</c:v>
                </c:pt>
              </c:numCache>
            </c:numRef>
          </c:val>
          <c:extLst>
            <c:ext xmlns:c16="http://schemas.microsoft.com/office/drawing/2014/chart" uri="{C3380CC4-5D6E-409C-BE32-E72D297353CC}">
              <c16:uniqueId val="{00000000-BD71-4D0F-9B37-5A89A90BA0D9}"/>
            </c:ext>
          </c:extLst>
        </c:ser>
        <c:ser>
          <c:idx val="3"/>
          <c:order val="1"/>
          <c:tx>
            <c:strRef>
              <c:f>'Monthly Stats Data'!$T$136:$T$137</c:f>
              <c:strCache>
                <c:ptCount val="2"/>
                <c:pt idx="0">
                  <c:v>Extra Listings</c:v>
                </c:pt>
                <c:pt idx="1">
                  <c:v>Needed</c:v>
                </c:pt>
              </c:strCache>
            </c:strRef>
          </c:tx>
          <c:spPr>
            <a:solidFill>
              <a:srgbClr val="8497B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Data'!$P$144:$P$155</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'Monthly Stats Data'!$T$144:$T$155</c:f>
              <c:numCache>
                <c:formatCode>_(* #,##0_);_(* \(#,##0\);_(* "-"??_);_(@_)</c:formatCode>
                <c:ptCount val="12"/>
                <c:pt idx="0">
                  <c:v>4020</c:v>
                </c:pt>
                <c:pt idx="1">
                  <c:v>3840</c:v>
                </c:pt>
                <c:pt idx="2">
                  <c:v>3675</c:v>
                </c:pt>
                <c:pt idx="3">
                  <c:v>3730</c:v>
                </c:pt>
                <c:pt idx="4">
                  <c:v>4360</c:v>
                </c:pt>
                <c:pt idx="5">
                  <c:v>5150</c:v>
                </c:pt>
                <c:pt idx="6">
                  <c:v>5050</c:v>
                </c:pt>
                <c:pt idx="7">
                  <c:v>4775</c:v>
                </c:pt>
                <c:pt idx="8">
                  <c:v>4290</c:v>
                </c:pt>
                <c:pt idx="9">
                  <c:v>3960</c:v>
                </c:pt>
                <c:pt idx="10">
                  <c:v>3735</c:v>
                </c:pt>
                <c:pt idx="11">
                  <c:v>3770</c:v>
                </c:pt>
              </c:numCache>
            </c:numRef>
          </c:val>
          <c:extLst>
            <c:ext xmlns:c16="http://schemas.microsoft.com/office/drawing/2014/chart" uri="{C3380CC4-5D6E-409C-BE32-E72D297353CC}">
              <c16:uniqueId val="{00000001-BD71-4D0F-9B37-5A89A90BA0D9}"/>
            </c:ext>
          </c:extLst>
        </c:ser>
        <c:dLbls>
          <c:showLegendKey val="0"/>
          <c:showVal val="0"/>
          <c:showCatName val="0"/>
          <c:showSerName val="0"/>
          <c:showPercent val="0"/>
          <c:showBubbleSize val="0"/>
        </c:dLbls>
        <c:gapWidth val="65"/>
        <c:overlap val="100"/>
        <c:axId val="1251891632"/>
        <c:axId val="1254153232"/>
      </c:barChart>
      <c:catAx>
        <c:axId val="12518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4153232"/>
        <c:crosses val="autoZero"/>
        <c:auto val="1"/>
        <c:lblAlgn val="ctr"/>
        <c:lblOffset val="100"/>
        <c:noMultiLvlLbl val="0"/>
      </c:catAx>
      <c:valAx>
        <c:axId val="1254153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189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latin typeface="Palatino Linotype" panose="02040502050505030304" pitchFamily="18" charset="0"/>
              </a:rPr>
              <a:t>4 County Total Sales (2nd Qtr)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spPr>
            <a:ln w="88900" cap="rnd">
              <a:solidFill>
                <a:srgbClr val="1F4E79"/>
              </a:solidFill>
              <a:round/>
            </a:ln>
            <a:effectLst/>
          </c:spPr>
          <c:marker>
            <c:symbol val="circle"/>
            <c:size val="5"/>
            <c:spPr>
              <a:solidFill>
                <a:schemeClr val="bg1"/>
              </a:solidFill>
              <a:ln w="9525">
                <a:solidFill>
                  <a:schemeClr val="accent1"/>
                </a:solidFill>
              </a:ln>
              <a:effectLst/>
            </c:spPr>
          </c:marker>
          <c:dLbls>
            <c:dLbl>
              <c:idx val="7"/>
              <c:layout>
                <c:manualLayout>
                  <c:x val="-2.7508986737150416E-2"/>
                  <c:y val="0.122317936483431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B9-4307-8E2C-C41EB2960A8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'2nd QTR County Data'!$B$184:$B$210</c:f>
              <c:numCache>
                <c:formatCode>General</c:formatCod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numCache>
            </c:numRef>
          </c:cat>
          <c:val>
            <c:numRef>
              <c:f>'2nd QTR County Data'!$C$184:$C$210</c:f>
              <c:numCache>
                <c:formatCode>_(* #,##0_);_(* \(#,##0\);_(* "-"??_);_(@_)</c:formatCode>
                <c:ptCount val="27"/>
                <c:pt idx="0">
                  <c:v>7897</c:v>
                </c:pt>
                <c:pt idx="1">
                  <c:v>8254</c:v>
                </c:pt>
                <c:pt idx="2">
                  <c:v>8893</c:v>
                </c:pt>
                <c:pt idx="3">
                  <c:v>9202</c:v>
                </c:pt>
                <c:pt idx="4">
                  <c:v>9630</c:v>
                </c:pt>
                <c:pt idx="5">
                  <c:v>10282</c:v>
                </c:pt>
                <c:pt idx="6">
                  <c:v>10086</c:v>
                </c:pt>
                <c:pt idx="7">
                  <c:v>9011</c:v>
                </c:pt>
                <c:pt idx="8">
                  <c:v>6891</c:v>
                </c:pt>
                <c:pt idx="9">
                  <c:v>6444</c:v>
                </c:pt>
                <c:pt idx="10">
                  <c:v>7368</c:v>
                </c:pt>
                <c:pt idx="11">
                  <c:v>6198</c:v>
                </c:pt>
                <c:pt idx="12">
                  <c:v>7970</c:v>
                </c:pt>
                <c:pt idx="13">
                  <c:v>8839</c:v>
                </c:pt>
                <c:pt idx="14">
                  <c:v>8205</c:v>
                </c:pt>
                <c:pt idx="15">
                  <c:v>9256</c:v>
                </c:pt>
                <c:pt idx="16">
                  <c:v>9960</c:v>
                </c:pt>
                <c:pt idx="17">
                  <c:v>10220</c:v>
                </c:pt>
                <c:pt idx="18">
                  <c:v>10249</c:v>
                </c:pt>
                <c:pt idx="19">
                  <c:v>9738</c:v>
                </c:pt>
                <c:pt idx="20">
                  <c:v>9061</c:v>
                </c:pt>
                <c:pt idx="21">
                  <c:v>10449</c:v>
                </c:pt>
                <c:pt idx="22">
                  <c:v>10059</c:v>
                </c:pt>
                <c:pt idx="23">
                  <c:v>7502</c:v>
                </c:pt>
                <c:pt idx="24">
                  <c:v>7932</c:v>
                </c:pt>
                <c:pt idx="25">
                  <c:v>8061</c:v>
                </c:pt>
                <c:pt idx="26">
                  <c:v>8562</c:v>
                </c:pt>
              </c:numCache>
            </c:numRef>
          </c:val>
          <c:smooth val="0"/>
          <c:extLst>
            <c:ext xmlns:c16="http://schemas.microsoft.com/office/drawing/2014/chart" uri="{C3380CC4-5D6E-409C-BE32-E72D297353CC}">
              <c16:uniqueId val="{00000001-ABB9-4307-8E2C-C41EB2960A8F}"/>
            </c:ext>
          </c:extLst>
        </c:ser>
        <c:dLbls>
          <c:showLegendKey val="0"/>
          <c:showVal val="0"/>
          <c:showCatName val="0"/>
          <c:showSerName val="0"/>
          <c:showPercent val="0"/>
          <c:showBubbleSize val="0"/>
        </c:dLbls>
        <c:marker val="1"/>
        <c:smooth val="0"/>
        <c:axId val="1972346336"/>
        <c:axId val="1972343008"/>
      </c:lineChart>
      <c:catAx>
        <c:axId val="19723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72343008"/>
        <c:crosses val="autoZero"/>
        <c:auto val="1"/>
        <c:lblAlgn val="ctr"/>
        <c:lblOffset val="100"/>
        <c:noMultiLvlLbl val="0"/>
      </c:catAx>
      <c:valAx>
        <c:axId val="1972343008"/>
        <c:scaling>
          <c:orientation val="minMax"/>
          <c:max val="11500"/>
          <c:min val="5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7234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latin typeface="Palatino Linotype" panose="02040502050505030304" pitchFamily="18" charset="0"/>
              </a:rPr>
              <a:t>4 County Listings (2nd Qtr)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spPr>
            <a:ln w="69850" cap="rnd">
              <a:solidFill>
                <a:schemeClr val="accent1">
                  <a:lumMod val="50000"/>
                </a:schemeClr>
              </a:solidFill>
              <a:round/>
            </a:ln>
            <a:effectLst/>
          </c:spPr>
          <c:marker>
            <c:symbol val="circle"/>
            <c:size val="5"/>
            <c:spPr>
              <a:solidFill>
                <a:schemeClr val="bg1"/>
              </a:solidFill>
              <a:ln w="9525">
                <a:solidFill>
                  <a:schemeClr val="accent1"/>
                </a:solidFill>
              </a:ln>
              <a:effectLst/>
            </c:spPr>
          </c:marker>
          <c:dLbls>
            <c:dLbl>
              <c:idx val="5"/>
              <c:layout>
                <c:manualLayout>
                  <c:x val="-3.0257386603218153E-2"/>
                  <c:y val="0.1102621537034577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F1-4D4D-97FD-098CCB09FAF4}"/>
                </c:ext>
              </c:extLst>
            </c:dLbl>
            <c:dLbl>
              <c:idx val="10"/>
              <c:layout>
                <c:manualLayout>
                  <c:x val="-1.8834364454443194E-2"/>
                  <c:y val="7.90277777777776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F1-4D4D-97FD-098CCB09FAF4}"/>
                </c:ext>
              </c:extLst>
            </c:dLbl>
            <c:dLbl>
              <c:idx val="20"/>
              <c:layout>
                <c:manualLayout>
                  <c:x val="-3.0739126359205244E-2"/>
                  <c:y val="9.2916666666666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F1-4D4D-97FD-098CCB09FAF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'2nd QTR County Data'!$B$186:$B$210</c:f>
              <c:numCache>
                <c:formatCode>General</c:formatCode>
                <c:ptCount val="2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c:v>
                </c:pt>
                <c:pt idx="22">
                  <c:v>2024</c:v>
                </c:pt>
                <c:pt idx="23">
                  <c:v>2025</c:v>
                </c:pt>
                <c:pt idx="24">
                  <c:v>2026</c:v>
                </c:pt>
              </c:numCache>
              <c:extLst/>
            </c:numRef>
          </c:cat>
          <c:val>
            <c:numRef>
              <c:f>'2nd QTR County Data'!$F$186:$F$210</c:f>
              <c:numCache>
                <c:formatCode>_(* #,##0_);_(* \(#,##0\);_(* "-"??_);_(@_)</c:formatCode>
                <c:ptCount val="25"/>
                <c:pt idx="0">
                  <c:v>5616</c:v>
                </c:pt>
                <c:pt idx="1">
                  <c:v>12985</c:v>
                </c:pt>
                <c:pt idx="2">
                  <c:v>14169</c:v>
                </c:pt>
                <c:pt idx="3">
                  <c:v>17097</c:v>
                </c:pt>
                <c:pt idx="4">
                  <c:v>21036</c:v>
                </c:pt>
                <c:pt idx="5">
                  <c:v>22115</c:v>
                </c:pt>
                <c:pt idx="6">
                  <c:v>19191</c:v>
                </c:pt>
                <c:pt idx="7">
                  <c:v>17350</c:v>
                </c:pt>
                <c:pt idx="8">
                  <c:v>17790</c:v>
                </c:pt>
                <c:pt idx="9">
                  <c:v>15751</c:v>
                </c:pt>
                <c:pt idx="10">
                  <c:v>15396</c:v>
                </c:pt>
                <c:pt idx="11">
                  <c:v>14975</c:v>
                </c:pt>
                <c:pt idx="12">
                  <c:v>15770</c:v>
                </c:pt>
                <c:pt idx="13">
                  <c:v>16129</c:v>
                </c:pt>
                <c:pt idx="14">
                  <c:v>15410</c:v>
                </c:pt>
                <c:pt idx="15">
                  <c:v>15504</c:v>
                </c:pt>
                <c:pt idx="16">
                  <c:v>14404</c:v>
                </c:pt>
                <c:pt idx="17">
                  <c:v>14022</c:v>
                </c:pt>
                <c:pt idx="18">
                  <c:v>12644</c:v>
                </c:pt>
                <c:pt idx="19">
                  <c:v>14265</c:v>
                </c:pt>
                <c:pt idx="20">
                  <c:v>13068</c:v>
                </c:pt>
                <c:pt idx="21">
                  <c:v>9891</c:v>
                </c:pt>
                <c:pt idx="22">
                  <c:v>10697</c:v>
                </c:pt>
                <c:pt idx="23">
                  <c:v>11166</c:v>
                </c:pt>
                <c:pt idx="24">
                  <c:v>12353</c:v>
                </c:pt>
              </c:numCache>
              <c:extLst/>
            </c:numRef>
          </c:val>
          <c:smooth val="0"/>
          <c:extLst>
            <c:ext xmlns:c16="http://schemas.microsoft.com/office/drawing/2014/chart" uri="{C3380CC4-5D6E-409C-BE32-E72D297353CC}">
              <c16:uniqueId val="{00000003-E5F1-4D4D-97FD-098CCB09FAF4}"/>
            </c:ext>
          </c:extLst>
        </c:ser>
        <c:dLbls>
          <c:showLegendKey val="0"/>
          <c:showVal val="0"/>
          <c:showCatName val="0"/>
          <c:showSerName val="0"/>
          <c:showPercent val="0"/>
          <c:showBubbleSize val="0"/>
        </c:dLbls>
        <c:marker val="1"/>
        <c:smooth val="0"/>
        <c:axId val="1972796112"/>
        <c:axId val="1967105936"/>
      </c:lineChart>
      <c:catAx>
        <c:axId val="197279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1967105936"/>
        <c:crosses val="autoZero"/>
        <c:auto val="1"/>
        <c:lblAlgn val="ctr"/>
        <c:lblOffset val="100"/>
        <c:noMultiLvlLbl val="0"/>
      </c:catAx>
      <c:valAx>
        <c:axId val="1967105936"/>
        <c:scaling>
          <c:orientation val="minMax"/>
          <c:max val="23000"/>
          <c:min val="3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2796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4</a:t>
            </a:r>
            <a:r>
              <a:rPr lang="en-US" baseline="0">
                <a:solidFill>
                  <a:sysClr val="windowText" lastClr="000000"/>
                </a:solidFill>
                <a:latin typeface="Palatino Linotype" panose="02040502050505030304" pitchFamily="18" charset="0"/>
              </a:rPr>
              <a:t> County Sale Price (2nd Qtr)</a:t>
            </a:r>
            <a:endParaRPr lang="en-US">
              <a:solidFill>
                <a:sysClr val="windowText" lastClr="000000"/>
              </a:solidFill>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endParaRPr lang="en-US"/>
        </a:p>
      </c:txPr>
    </c:title>
    <c:autoTitleDeleted val="0"/>
    <c:plotArea>
      <c:layout/>
      <c:barChart>
        <c:barDir val="col"/>
        <c:grouping val="clustered"/>
        <c:varyColors val="0"/>
        <c:ser>
          <c:idx val="1"/>
          <c:order val="0"/>
          <c:tx>
            <c:strRef>
              <c:f>'2nd QTR County Data'!$D$167</c:f>
              <c:strCache>
                <c:ptCount val="1"/>
                <c:pt idx="0">
                  <c:v>Avg Sale Price</c:v>
                </c:pt>
              </c:strCache>
            </c:strRef>
          </c:tx>
          <c:spPr>
            <a:solidFill>
              <a:srgbClr val="1F4E79"/>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defRPr sz="900" b="0" i="0" u="none" strike="noStrike" kern="1200" baseline="0">
                    <a:solidFill>
                      <a:schemeClr val="bg1"/>
                    </a:solidFill>
                    <a:latin typeface="Palatino Linotype" panose="020405020505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'2nd QTR County Data'!$B$184:$B$210</c:f>
              <c:numCache>
                <c:formatCode>General</c:formatCod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numCache>
            </c:numRef>
          </c:cat>
          <c:val>
            <c:numRef>
              <c:f>'2nd QTR County Data'!$D$184:$D$210</c:f>
              <c:numCache>
                <c:formatCode>_("$"* #,##0_);_("$"* \(#,##0\);_("$"* "-"??_);_(@_)</c:formatCode>
                <c:ptCount val="27"/>
                <c:pt idx="0">
                  <c:v>175359.75</c:v>
                </c:pt>
                <c:pt idx="1">
                  <c:v>182629.5</c:v>
                </c:pt>
                <c:pt idx="2">
                  <c:v>201643.25</c:v>
                </c:pt>
                <c:pt idx="3">
                  <c:v>212221.25</c:v>
                </c:pt>
                <c:pt idx="4">
                  <c:v>229949.25</c:v>
                </c:pt>
                <c:pt idx="5">
                  <c:v>241680.75</c:v>
                </c:pt>
                <c:pt idx="6">
                  <c:v>259473</c:v>
                </c:pt>
                <c:pt idx="7">
                  <c:v>254076</c:v>
                </c:pt>
                <c:pt idx="8">
                  <c:v>248740</c:v>
                </c:pt>
                <c:pt idx="9">
                  <c:v>219373.25</c:v>
                </c:pt>
                <c:pt idx="10">
                  <c:v>222982.5</c:v>
                </c:pt>
                <c:pt idx="11">
                  <c:v>211731.75</c:v>
                </c:pt>
                <c:pt idx="12">
                  <c:v>205119.5</c:v>
                </c:pt>
                <c:pt idx="13">
                  <c:v>220649.75</c:v>
                </c:pt>
                <c:pt idx="14">
                  <c:v>219684.25</c:v>
                </c:pt>
                <c:pt idx="15">
                  <c:v>240873</c:v>
                </c:pt>
                <c:pt idx="16">
                  <c:v>247957.5</c:v>
                </c:pt>
                <c:pt idx="17">
                  <c:v>259734.5</c:v>
                </c:pt>
                <c:pt idx="18">
                  <c:v>282116.75</c:v>
                </c:pt>
                <c:pt idx="19">
                  <c:v>294098</c:v>
                </c:pt>
                <c:pt idx="20">
                  <c:v>310629.75</c:v>
                </c:pt>
                <c:pt idx="21">
                  <c:v>358601.5</c:v>
                </c:pt>
                <c:pt idx="22">
                  <c:v>392544.5</c:v>
                </c:pt>
                <c:pt idx="23">
                  <c:v>409885.25</c:v>
                </c:pt>
                <c:pt idx="24">
                  <c:v>434099.75</c:v>
                </c:pt>
                <c:pt idx="25">
                  <c:v>457572.75</c:v>
                </c:pt>
                <c:pt idx="26">
                  <c:v>483550.75</c:v>
                </c:pt>
              </c:numCache>
            </c:numRef>
          </c:val>
          <c:extLst>
            <c:ext xmlns:c16="http://schemas.microsoft.com/office/drawing/2014/chart" uri="{C3380CC4-5D6E-409C-BE32-E72D297353CC}">
              <c16:uniqueId val="{00000000-3206-4052-B224-47A9AED0FF01}"/>
            </c:ext>
          </c:extLst>
        </c:ser>
        <c:dLbls>
          <c:dLblPos val="inEnd"/>
          <c:showLegendKey val="0"/>
          <c:showVal val="1"/>
          <c:showCatName val="0"/>
          <c:showSerName val="0"/>
          <c:showPercent val="0"/>
          <c:showBubbleSize val="0"/>
        </c:dLbls>
        <c:gapWidth val="25"/>
        <c:overlap val="-61"/>
        <c:axId val="458612800"/>
        <c:axId val="458613192"/>
      </c:barChart>
      <c:catAx>
        <c:axId val="45861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458613192"/>
        <c:crosses val="autoZero"/>
        <c:auto val="1"/>
        <c:lblAlgn val="ctr"/>
        <c:lblOffset val="100"/>
        <c:noMultiLvlLbl val="0"/>
      </c:catAx>
      <c:valAx>
        <c:axId val="458613192"/>
        <c:scaling>
          <c:orientation val="minMax"/>
          <c:max val="500000"/>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45861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7 County Total Sales (2nd Qtr)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spPr>
            <a:ln w="88900" cap="rnd">
              <a:solidFill>
                <a:schemeClr val="accent1">
                  <a:lumMod val="50000"/>
                </a:schemeClr>
              </a:solidFill>
              <a:round/>
            </a:ln>
            <a:effectLst/>
          </c:spPr>
          <c:marker>
            <c:symbol val="circle"/>
            <c:size val="5"/>
            <c:spPr>
              <a:solidFill>
                <a:schemeClr val="bg1"/>
              </a:solidFill>
              <a:ln w="9525">
                <a:solidFill>
                  <a:schemeClr val="accent1"/>
                </a:solidFill>
              </a:ln>
              <a:effectLst/>
            </c:spPr>
          </c:marker>
          <c:dLbls>
            <c:dLbl>
              <c:idx val="7"/>
              <c:layout>
                <c:manualLayout>
                  <c:x val="-2.7508986737150416E-2"/>
                  <c:y val="0.122317936483431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17-41D7-9EF9-562DD8D3027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'2nd QTR County Data'!$B$308:$B$334</c:f>
              <c:numCache>
                <c:formatCode>General</c:formatCod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numCache>
            </c:numRef>
          </c:cat>
          <c:val>
            <c:numRef>
              <c:f>'2nd QTR County Data'!$C$308:$C$334</c:f>
              <c:numCache>
                <c:formatCode>_(* #,##0_);_(* \(#,##0\);_(* "-"??_);_(@_)</c:formatCode>
                <c:ptCount val="27"/>
                <c:pt idx="0">
                  <c:v>10648</c:v>
                </c:pt>
                <c:pt idx="1">
                  <c:v>11145</c:v>
                </c:pt>
                <c:pt idx="2">
                  <c:v>11913</c:v>
                </c:pt>
                <c:pt idx="3">
                  <c:v>12284</c:v>
                </c:pt>
                <c:pt idx="4">
                  <c:v>13192</c:v>
                </c:pt>
                <c:pt idx="5">
                  <c:v>13876</c:v>
                </c:pt>
                <c:pt idx="6">
                  <c:v>13374</c:v>
                </c:pt>
                <c:pt idx="7">
                  <c:v>11924</c:v>
                </c:pt>
                <c:pt idx="8">
                  <c:v>9148</c:v>
                </c:pt>
                <c:pt idx="9">
                  <c:v>8240</c:v>
                </c:pt>
                <c:pt idx="10">
                  <c:v>9599</c:v>
                </c:pt>
                <c:pt idx="11">
                  <c:v>8302</c:v>
                </c:pt>
                <c:pt idx="12">
                  <c:v>10364</c:v>
                </c:pt>
                <c:pt idx="13">
                  <c:v>11646</c:v>
                </c:pt>
                <c:pt idx="14">
                  <c:v>10824</c:v>
                </c:pt>
                <c:pt idx="15">
                  <c:v>12393</c:v>
                </c:pt>
                <c:pt idx="16">
                  <c:v>13333</c:v>
                </c:pt>
                <c:pt idx="17">
                  <c:v>13641</c:v>
                </c:pt>
                <c:pt idx="18">
                  <c:v>13598</c:v>
                </c:pt>
                <c:pt idx="19">
                  <c:v>13011</c:v>
                </c:pt>
                <c:pt idx="20">
                  <c:v>12036</c:v>
                </c:pt>
                <c:pt idx="21">
                  <c:v>13990</c:v>
                </c:pt>
                <c:pt idx="22">
                  <c:v>13340</c:v>
                </c:pt>
                <c:pt idx="23">
                  <c:v>9963</c:v>
                </c:pt>
                <c:pt idx="24">
                  <c:v>10411</c:v>
                </c:pt>
                <c:pt idx="25">
                  <c:v>10537</c:v>
                </c:pt>
                <c:pt idx="26">
                  <c:v>11109</c:v>
                </c:pt>
              </c:numCache>
            </c:numRef>
          </c:val>
          <c:smooth val="0"/>
          <c:extLst>
            <c:ext xmlns:c16="http://schemas.microsoft.com/office/drawing/2014/chart" uri="{C3380CC4-5D6E-409C-BE32-E72D297353CC}">
              <c16:uniqueId val="{00000001-2417-41D7-9EF9-562DD8D3027B}"/>
            </c:ext>
          </c:extLst>
        </c:ser>
        <c:dLbls>
          <c:showLegendKey val="0"/>
          <c:showVal val="0"/>
          <c:showCatName val="0"/>
          <c:showSerName val="0"/>
          <c:showPercent val="0"/>
          <c:showBubbleSize val="0"/>
        </c:dLbls>
        <c:marker val="1"/>
        <c:smooth val="0"/>
        <c:axId val="1972346336"/>
        <c:axId val="1972343008"/>
      </c:lineChart>
      <c:catAx>
        <c:axId val="19723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2343008"/>
        <c:crosses val="autoZero"/>
        <c:auto val="1"/>
        <c:lblAlgn val="ctr"/>
        <c:lblOffset val="100"/>
        <c:noMultiLvlLbl val="0"/>
      </c:catAx>
      <c:valAx>
        <c:axId val="1972343008"/>
        <c:scaling>
          <c:orientation val="minMax"/>
          <c:max val="16000"/>
          <c:min val="3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234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7 County Listings (2nd Qtr)</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spPr>
            <a:ln w="88900" cap="rnd">
              <a:solidFill>
                <a:schemeClr val="accent1">
                  <a:lumMod val="50000"/>
                </a:schemeClr>
              </a:solidFill>
              <a:round/>
            </a:ln>
            <a:effectLst/>
          </c:spPr>
          <c:marker>
            <c:symbol val="circle"/>
            <c:size val="5"/>
            <c:spPr>
              <a:solidFill>
                <a:schemeClr val="bg1"/>
              </a:solidFill>
              <a:ln w="9525">
                <a:solidFill>
                  <a:schemeClr val="accent1"/>
                </a:solidFill>
              </a:ln>
              <a:effectLst/>
            </c:spPr>
          </c:marker>
          <c:dLbls>
            <c:dLbl>
              <c:idx val="7"/>
              <c:layout>
                <c:manualLayout>
                  <c:x val="-2.7508986737150416E-2"/>
                  <c:y val="0.122317936483431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39-4F4A-A1FA-66F7736F6BAF}"/>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'2nd QTR County Data'!$B$308:$B$334</c:f>
              <c:numCache>
                <c:formatCode>General</c:formatCod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numCache>
            </c:numRef>
          </c:cat>
          <c:val>
            <c:numRef>
              <c:f>'2nd QTR County Data'!$F$308:$F$334</c:f>
              <c:numCache>
                <c:formatCode>_(* #,##0_);_(* \(#,##0\);_(* "-"??_);_(@_)</c:formatCode>
                <c:ptCount val="27"/>
                <c:pt idx="0">
                  <c:v>7819</c:v>
                </c:pt>
                <c:pt idx="1">
                  <c:v>8045</c:v>
                </c:pt>
                <c:pt idx="2">
                  <c:v>7726</c:v>
                </c:pt>
                <c:pt idx="3">
                  <c:v>17937</c:v>
                </c:pt>
                <c:pt idx="4">
                  <c:v>19503</c:v>
                </c:pt>
                <c:pt idx="5">
                  <c:v>23256</c:v>
                </c:pt>
                <c:pt idx="6">
                  <c:v>28702</c:v>
                </c:pt>
                <c:pt idx="7">
                  <c:v>30211</c:v>
                </c:pt>
                <c:pt idx="8">
                  <c:v>26499</c:v>
                </c:pt>
                <c:pt idx="9">
                  <c:v>23571</c:v>
                </c:pt>
                <c:pt idx="10">
                  <c:v>24444</c:v>
                </c:pt>
                <c:pt idx="11">
                  <c:v>21376</c:v>
                </c:pt>
                <c:pt idx="12">
                  <c:v>20834</c:v>
                </c:pt>
                <c:pt idx="13">
                  <c:v>14975</c:v>
                </c:pt>
                <c:pt idx="14">
                  <c:v>21242</c:v>
                </c:pt>
                <c:pt idx="15">
                  <c:v>21816</c:v>
                </c:pt>
                <c:pt idx="16">
                  <c:v>20658</c:v>
                </c:pt>
                <c:pt idx="17">
                  <c:v>20713</c:v>
                </c:pt>
                <c:pt idx="18">
                  <c:v>19181</c:v>
                </c:pt>
                <c:pt idx="19">
                  <c:v>18810</c:v>
                </c:pt>
                <c:pt idx="20">
                  <c:v>16842</c:v>
                </c:pt>
                <c:pt idx="21">
                  <c:v>18695</c:v>
                </c:pt>
                <c:pt idx="22">
                  <c:v>17339</c:v>
                </c:pt>
                <c:pt idx="23">
                  <c:v>13184</c:v>
                </c:pt>
                <c:pt idx="24">
                  <c:v>14149</c:v>
                </c:pt>
                <c:pt idx="25">
                  <c:v>14717</c:v>
                </c:pt>
                <c:pt idx="26">
                  <c:v>16094</c:v>
                </c:pt>
              </c:numCache>
            </c:numRef>
          </c:val>
          <c:smooth val="0"/>
          <c:extLst>
            <c:ext xmlns:c16="http://schemas.microsoft.com/office/drawing/2014/chart" uri="{C3380CC4-5D6E-409C-BE32-E72D297353CC}">
              <c16:uniqueId val="{00000001-E239-4F4A-A1FA-66F7736F6BAF}"/>
            </c:ext>
          </c:extLst>
        </c:ser>
        <c:dLbls>
          <c:showLegendKey val="0"/>
          <c:showVal val="0"/>
          <c:showCatName val="0"/>
          <c:showSerName val="0"/>
          <c:showPercent val="0"/>
          <c:showBubbleSize val="0"/>
        </c:dLbls>
        <c:marker val="1"/>
        <c:smooth val="0"/>
        <c:axId val="1972346336"/>
        <c:axId val="1972343008"/>
      </c:lineChart>
      <c:catAx>
        <c:axId val="19723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2343008"/>
        <c:crosses val="autoZero"/>
        <c:auto val="1"/>
        <c:lblAlgn val="ctr"/>
        <c:lblOffset val="100"/>
        <c:noMultiLvlLbl val="0"/>
      </c:catAx>
      <c:valAx>
        <c:axId val="1972343008"/>
        <c:scaling>
          <c:orientation val="minMax"/>
          <c:max val="31000"/>
          <c:min val="45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234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7 County Sale Price (2nd Qtr)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'2nd QTR County Data'!$D$167</c:f>
              <c:strCache>
                <c:ptCount val="1"/>
                <c:pt idx="0">
                  <c:v>Avg Sale Price</c:v>
                </c:pt>
              </c:strCache>
            </c:strRef>
          </c:tx>
          <c:spPr>
            <a:solidFill>
              <a:schemeClr val="accent1">
                <a:lumMod val="50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'2nd QTR County Data'!$B$308:$B$334</c:f>
              <c:numCache>
                <c:formatCode>General</c:formatCod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numCache>
            </c:numRef>
          </c:cat>
          <c:val>
            <c:numRef>
              <c:f>'2nd QTR County Data'!$D$308:$D$334</c:f>
              <c:numCache>
                <c:formatCode>_("$"* #,##0_);_("$"* \(#,##0\);_("$"* "-"??_);_(@_)</c:formatCode>
                <c:ptCount val="27"/>
                <c:pt idx="0">
                  <c:v>161156.85714285713</c:v>
                </c:pt>
                <c:pt idx="1">
                  <c:v>171413</c:v>
                </c:pt>
                <c:pt idx="2">
                  <c:v>182480.42857142858</c:v>
                </c:pt>
                <c:pt idx="3">
                  <c:v>195113.28571428571</c:v>
                </c:pt>
                <c:pt idx="4">
                  <c:v>211146.71428571429</c:v>
                </c:pt>
                <c:pt idx="5">
                  <c:v>230284.42857142858</c:v>
                </c:pt>
                <c:pt idx="6">
                  <c:v>245226.28571428571</c:v>
                </c:pt>
                <c:pt idx="7">
                  <c:v>242883.71428571429</c:v>
                </c:pt>
                <c:pt idx="8">
                  <c:v>237178.57142857142</c:v>
                </c:pt>
                <c:pt idx="9">
                  <c:v>205673.14285714287</c:v>
                </c:pt>
                <c:pt idx="10">
                  <c:v>202535</c:v>
                </c:pt>
                <c:pt idx="11">
                  <c:v>189121.42857142858</c:v>
                </c:pt>
                <c:pt idx="12">
                  <c:v>184618.57142857142</c:v>
                </c:pt>
                <c:pt idx="13">
                  <c:v>195255.28571428571</c:v>
                </c:pt>
                <c:pt idx="14">
                  <c:v>201226.71428571429</c:v>
                </c:pt>
                <c:pt idx="15">
                  <c:v>220224.57142857142</c:v>
                </c:pt>
                <c:pt idx="16">
                  <c:v>223864</c:v>
                </c:pt>
                <c:pt idx="17">
                  <c:v>241903.57142857142</c:v>
                </c:pt>
                <c:pt idx="18">
                  <c:v>262827.42857142858</c:v>
                </c:pt>
                <c:pt idx="19">
                  <c:v>271854.85714285716</c:v>
                </c:pt>
                <c:pt idx="20">
                  <c:v>289003.42857142858</c:v>
                </c:pt>
                <c:pt idx="21">
                  <c:v>340120.28571428574</c:v>
                </c:pt>
                <c:pt idx="22">
                  <c:v>367020.14285714284</c:v>
                </c:pt>
                <c:pt idx="23">
                  <c:v>389811.14285714284</c:v>
                </c:pt>
                <c:pt idx="24">
                  <c:v>414965.71428571426</c:v>
                </c:pt>
                <c:pt idx="25">
                  <c:v>438602.14285714284</c:v>
                </c:pt>
                <c:pt idx="26">
                  <c:v>465041.71428571426</c:v>
                </c:pt>
              </c:numCache>
            </c:numRef>
          </c:val>
          <c:extLst>
            <c:ext xmlns:c16="http://schemas.microsoft.com/office/drawing/2014/chart" uri="{C3380CC4-5D6E-409C-BE32-E72D297353CC}">
              <c16:uniqueId val="{00000000-518F-48DD-BFCB-7033AB08B62F}"/>
            </c:ext>
          </c:extLst>
        </c:ser>
        <c:dLbls>
          <c:dLblPos val="inEnd"/>
          <c:showLegendKey val="0"/>
          <c:showVal val="1"/>
          <c:showCatName val="0"/>
          <c:showSerName val="0"/>
          <c:showPercent val="0"/>
          <c:showBubbleSize val="0"/>
        </c:dLbls>
        <c:gapWidth val="25"/>
        <c:overlap val="-61"/>
        <c:axId val="458612408"/>
        <c:axId val="458615936"/>
      </c:barChart>
      <c:catAx>
        <c:axId val="45861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15936"/>
        <c:crosses val="autoZero"/>
        <c:auto val="1"/>
        <c:lblAlgn val="ctr"/>
        <c:lblOffset val="100"/>
        <c:noMultiLvlLbl val="0"/>
      </c:catAx>
      <c:valAx>
        <c:axId val="45861593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12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0.92562</cdr:x>
      <cdr:y>0.88307</cdr:y>
    </cdr:from>
    <cdr:to>
      <cdr:x>0.99228</cdr:x>
      <cdr:y>0.99669</cdr:y>
    </cdr:to>
    <cdr:pic>
      <cdr:nvPicPr>
        <cdr:cNvPr id="2"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78308" y="2826178"/>
          <a:ext cx="365760" cy="363639"/>
        </a:xfrm>
        <a:prstGeom xmlns:a="http://schemas.openxmlformats.org/drawingml/2006/main" prst="rect">
          <a:avLst/>
        </a:prstGeom>
      </cdr:spPr>
    </cdr:pic>
  </cdr:relSizeAnchor>
  <cdr:relSizeAnchor xmlns:cdr="http://schemas.openxmlformats.org/drawingml/2006/chartDrawing">
    <cdr:from>
      <cdr:x>0.00193</cdr:x>
      <cdr:y>0.84721</cdr:y>
    </cdr:from>
    <cdr:to>
      <cdr:x>0.08526</cdr:x>
      <cdr:y>0.99008</cdr:y>
    </cdr:to>
    <cdr:pic>
      <cdr:nvPicPr>
        <cdr:cNvPr id="3" name="Picture 2">
          <a:extLst xmlns:a="http://schemas.openxmlformats.org/drawingml/2006/main">
            <a:ext uri="{FF2B5EF4-FFF2-40B4-BE49-F238E27FC236}">
              <a16:creationId xmlns:a16="http://schemas.microsoft.com/office/drawing/2014/main" id="{3BB21591-28C5-8318-C108-89EAEA82897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0583" y="2711414"/>
          <a:ext cx="457200" cy="45723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0.01157</cdr:x>
      <cdr:y>0.84614</cdr:y>
    </cdr:from>
    <cdr:to>
      <cdr:x>0.09491</cdr:x>
      <cdr:y>1</cdr:y>
    </cdr:to>
    <cdr:pic>
      <cdr:nvPicPr>
        <cdr:cNvPr id="2" name="Picture 1">
          <a:extLst xmlns:a="http://schemas.openxmlformats.org/drawingml/2006/main">
            <a:ext uri="{FF2B5EF4-FFF2-40B4-BE49-F238E27FC236}">
              <a16:creationId xmlns:a16="http://schemas.microsoft.com/office/drawing/2014/main" id="{26B95A79-CE85-3124-AAA0-E6FAAF2C3C5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3500" y="2514564"/>
          <a:ext cx="457200" cy="457236"/>
        </a:xfrm>
        <a:prstGeom xmlns:a="http://schemas.openxmlformats.org/drawingml/2006/main" prst="rect">
          <a:avLst/>
        </a:prstGeom>
      </cdr:spPr>
    </cdr:pic>
  </cdr:relSizeAnchor>
  <cdr:relSizeAnchor xmlns:cdr="http://schemas.openxmlformats.org/drawingml/2006/chartDrawing">
    <cdr:from>
      <cdr:x>0.93333</cdr:x>
      <cdr:y>0.87764</cdr:y>
    </cdr:from>
    <cdr:to>
      <cdr:x>1</cdr:x>
      <cdr:y>1</cdr:y>
    </cdr:to>
    <cdr:pic>
      <cdr:nvPicPr>
        <cdr:cNvPr id="3"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131223" y="2608161"/>
          <a:ext cx="365760" cy="36363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73863-2EC1-42AE-84BB-8616F4FBD67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C631-8471-4ACA-952D-531C6F7B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Ruzicka</cp:lastModifiedBy>
  <cp:revision>5</cp:revision>
  <cp:lastPrinted>2026-04-13T18:48:00Z</cp:lastPrinted>
  <dcterms:created xsi:type="dcterms:W3CDTF">2026-07-14T19:06:00Z</dcterms:created>
  <dcterms:modified xsi:type="dcterms:W3CDTF">2026-07-14T21:14:00Z</dcterms:modified>
</cp:coreProperties>
</file>